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4"/>
        <w:ind w:left="4962" w:right="-363"/>
      </w:pPr>
      <w:r>
        <w:t xml:space="preserve">Приложение №5</w:t>
      </w:r>
      <w:r>
        <w:t xml:space="preserve"> </w:t>
      </w:r>
      <w:r/>
    </w:p>
    <w:p>
      <w:pPr>
        <w:pStyle w:val="944"/>
        <w:ind w:left="4962" w:right="-363"/>
      </w:pPr>
      <w:r>
        <w:t xml:space="preserve">к договору </w:t>
      </w:r>
      <w:r>
        <w:t xml:space="preserve">поставки электрич</w:t>
      </w:r>
      <w:r>
        <w:t xml:space="preserve">еской энергии</w:t>
      </w:r>
      <w:r/>
    </w:p>
    <w:p>
      <w:pPr>
        <w:pStyle w:val="944"/>
        <w:ind w:left="4962" w:right="-363"/>
      </w:pPr>
      <w:r>
        <w:t xml:space="preserve">для компенсации потерь в электрических сетях</w:t>
      </w:r>
      <w:r>
        <w:t xml:space="preserve"> </w:t>
      </w:r>
      <w:r/>
    </w:p>
    <w:p>
      <w:pPr>
        <w:pStyle w:val="944"/>
        <w:ind w:left="4962" w:right="-363"/>
      </w:pPr>
      <w:r>
        <w:t xml:space="preserve">№</w:t>
      </w:r>
      <w:r>
        <w:t xml:space="preserve">___________ от «___»_______202__г</w:t>
      </w:r>
      <w:r/>
    </w:p>
    <w:p>
      <w:pPr>
        <w:pStyle w:val="944"/>
        <w:ind w:left="6237" w:right="-363"/>
        <w:jc w:val="center"/>
      </w:pPr>
      <w:r/>
      <w:r/>
    </w:p>
    <w:p>
      <w:pPr>
        <w:pStyle w:val="944"/>
        <w:ind w:left="6237" w:right="-363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4"/>
        <w:ind w:right="-363"/>
        <w:jc w:val="center"/>
        <w:rPr>
          <w:b/>
          <w:bCs/>
          <w:iCs/>
          <w:color w:val="000000"/>
          <w:spacing w:val="-6"/>
        </w:rPr>
      </w:pPr>
      <w:r>
        <w:rPr>
          <w:b/>
          <w:bCs/>
          <w:iCs/>
          <w:color w:val="000000"/>
          <w:spacing w:val="-6"/>
        </w:rPr>
        <w:t xml:space="preserve">Регламент формирования объёмов электрической энергии, переданной потребителям </w:t>
      </w:r>
      <w:r>
        <w:rPr>
          <w:b/>
          <w:bCs/>
          <w:iCs/>
          <w:color w:val="000000"/>
          <w:spacing w:val="-6"/>
        </w:rPr>
        <w:t xml:space="preserve">Поставщика</w:t>
      </w:r>
      <w:r>
        <w:rPr>
          <w:b/>
          <w:bCs/>
          <w:iCs/>
          <w:color w:val="000000"/>
          <w:spacing w:val="-6"/>
        </w:rPr>
        <w:t xml:space="preserve"> и оформления сторонами документов.</w:t>
      </w:r>
      <w:r>
        <w:rPr>
          <w:b/>
          <w:bCs/>
          <w:iCs/>
          <w:color w:val="000000"/>
          <w:spacing w:val="-6"/>
        </w:rPr>
      </w:r>
      <w:r>
        <w:rPr>
          <w:b/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firstLine="708"/>
        <w:jc w:val="both"/>
      </w:pPr>
      <w:r>
        <w:t xml:space="preserve">Настоящий регламент определяет порядок и сроки определения объемов переданной Потребителям </w:t>
      </w:r>
      <w:r>
        <w:t xml:space="preserve">Поставщика</w:t>
      </w:r>
      <w:r>
        <w:t xml:space="preserve"> электрической энергии, и оформления документов.</w:t>
      </w:r>
      <w:r/>
    </w:p>
    <w:p>
      <w:pPr>
        <w:pStyle w:val="944"/>
        <w:ind w:firstLine="708"/>
        <w:jc w:val="both"/>
      </w:pPr>
      <w:r>
        <w:t xml:space="preserve">Все документы и сведения необходимые для определения объёмов переданной электрической энергии, передаются Сторонами, через представителей территориальных подразделений сетевой организации.</w:t>
      </w:r>
      <w:r/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  <w:t xml:space="preserve">1. Порядок формирования объёмов электроэнергии переданной потребителям.</w:t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Формирование объемов </w:t>
      </w:r>
      <w:r>
        <w:t xml:space="preserve">электрической энергии, переданной</w:t>
      </w:r>
      <w:r>
        <w:t xml:space="preserve"> потребителям производится персоналом </w:t>
      </w:r>
      <w:r>
        <w:t xml:space="preserve">Покупателя</w:t>
      </w:r>
      <w:r>
        <w:t xml:space="preserve">, на основании: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а). </w:t>
        <w:tab/>
        <w:t xml:space="preserve">Актов снятия показаний расчётных средств учета, допущенных в эксплуатацию, в порядке установленном действующим законодательством, полученных от потребителей либо оформленных Исполнителем (в том числе в случае замены средств учёта);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б).</w:t>
        <w:tab/>
        <w:t xml:space="preserve">Актов снятия показаний контрольных средств учета электрической энергии в случаях, предусмотренных действующим законодательством;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в).</w:t>
        <w:tab/>
        <w:t xml:space="preserve">Данных об объёме переданной электроэнергии, полученных с использованием автоматизированных систем учёта, средств дистанционного снятия показаний и других технических средств;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г).</w:t>
        <w:tab/>
        <w:t xml:space="preserve">Актов о неучтённом потреблении электрической энергии, составляемых в случаях предусмотренных действующим законодательством;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д)</w:t>
        <w:tab/>
        <w:t xml:space="preserve">Расчётных способов, предусмотренных действующим законодательством.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Обмен документами и сведениями, указанными в </w:t>
      </w:r>
      <w:r>
        <w:rPr>
          <w:color w:val="0000ff"/>
        </w:rPr>
        <w:t xml:space="preserve">п.1.1.</w:t>
      </w:r>
      <w:r>
        <w:t xml:space="preserve"> настоящего Регламента, осуществляется на уровне территориальных подразделений Сторон</w:t>
      </w:r>
      <w:r>
        <w:t xml:space="preserve"> (опосредованно, через территориальные подразделения сетевой организации)</w:t>
      </w:r>
      <w:r>
        <w:t xml:space="preserve"> </w:t>
      </w:r>
      <w:r>
        <w:rPr>
          <w:i/>
        </w:rPr>
        <w:t xml:space="preserve">с обязательным наличием отметки о получении</w:t>
      </w:r>
      <w:r>
        <w:t xml:space="preserve"> пред</w:t>
      </w:r>
      <w:r>
        <w:t xml:space="preserve">ставителями принимающей Стороны. К сопроводительному письму прилагается реестр передаваемых документов с указанием наименования: документа, потребителя и объекта, а также объёма электрической энергии по каждому объекту, указанного в прилагаемом документе. 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Сроки предоставления персоналом </w:t>
      </w:r>
      <w:r>
        <w:t xml:space="preserve">Покупателя</w:t>
      </w:r>
      <w:r>
        <w:t xml:space="preserve"> персоналу </w:t>
      </w:r>
      <w:r>
        <w:t xml:space="preserve">Поставщика</w:t>
      </w:r>
      <w:r>
        <w:t xml:space="preserve"> документов и сведений указанных в </w:t>
      </w:r>
      <w:r>
        <w:rPr>
          <w:color w:val="0000ff"/>
        </w:rPr>
        <w:t xml:space="preserve">п. 1.1</w:t>
      </w:r>
      <w:r>
        <w:t xml:space="preserve"> настоящего регламента:</w:t>
      </w:r>
      <w:r/>
    </w:p>
    <w:p>
      <w:pPr>
        <w:pStyle w:val="944"/>
        <w:numPr>
          <w:ilvl w:val="2"/>
          <w:numId w:val="15"/>
        </w:numPr>
        <w:jc w:val="both"/>
        <w:widowControl/>
        <w:rPr>
          <w:i/>
        </w:rPr>
      </w:pPr>
      <w:r>
        <w:t xml:space="preserve">Акты контрольного снятия показаний расчётных средств учета электрической энергии, – </w:t>
      </w:r>
      <w:r>
        <w:rPr>
          <w:i/>
        </w:rPr>
        <w:t xml:space="preserve">в течении трёх рабочих дней после их составления, но не позднее 1-го  числа месяца, следующего за расчётным;</w:t>
      </w:r>
      <w:r>
        <w:rPr>
          <w:i/>
        </w:rPr>
      </w:r>
      <w:r>
        <w:rPr>
          <w:i/>
        </w:rPr>
      </w:r>
    </w:p>
    <w:p>
      <w:pPr>
        <w:pStyle w:val="944"/>
        <w:numPr>
          <w:ilvl w:val="2"/>
          <w:numId w:val="15"/>
        </w:numPr>
        <w:jc w:val="both"/>
        <w:widowControl/>
      </w:pPr>
      <w:r>
        <w:t xml:space="preserve">Акты о неучтённом потреблении электрической энергии передаются </w:t>
      </w:r>
      <w:r>
        <w:rPr>
          <w:i/>
        </w:rPr>
        <w:t xml:space="preserve">в оригинале не позднее трёх рабочих дней </w:t>
      </w:r>
      <w:r>
        <w:t xml:space="preserve">с момента составления</w:t>
      </w:r>
      <w:r>
        <w:rPr>
          <w:i/>
        </w:rPr>
        <w:t xml:space="preserve">, но не позднее 1-го числа месяца, следующего за расчётным;</w:t>
      </w:r>
      <w:r/>
    </w:p>
    <w:p>
      <w:pPr>
        <w:pStyle w:val="944"/>
        <w:numPr>
          <w:ilvl w:val="2"/>
          <w:numId w:val="15"/>
        </w:numPr>
        <w:jc w:val="both"/>
        <w:widowControl/>
      </w:pPr>
      <w:r>
        <w:t xml:space="preserve">Акты замены средств учета (инструментальной проверки) – передаются в течении </w:t>
      </w:r>
      <w:r>
        <w:rPr>
          <w:i/>
        </w:rPr>
        <w:t xml:space="preserve">1 рабочего дня</w:t>
      </w:r>
      <w:r>
        <w:t xml:space="preserve"> с момента составления</w:t>
      </w:r>
      <w:r>
        <w:rPr>
          <w:i/>
        </w:rPr>
        <w:t xml:space="preserve">, не позднее 1 числа месяца, следующего за расчётным;</w:t>
      </w:r>
      <w:r>
        <w:t xml:space="preserve"> </w:t>
      </w:r>
      <w:r/>
    </w:p>
    <w:p>
      <w:pPr>
        <w:pStyle w:val="944"/>
        <w:numPr>
          <w:ilvl w:val="2"/>
          <w:numId w:val="15"/>
        </w:numPr>
        <w:jc w:val="both"/>
        <w:widowControl/>
      </w:pPr>
      <w:r>
        <w:t xml:space="preserve">Показания средств учёта полученных с использованием автоматизированных систем учёта, средств дистанционного снятия показаний и других технических средств</w:t>
      </w:r>
      <w:r>
        <w:rPr>
          <w:i/>
        </w:rPr>
        <w:t xml:space="preserve">, не позднее 1-го числа, текущего месяца, </w:t>
      </w:r>
      <w:r>
        <w:t xml:space="preserve">в электронном виде, по форме «Реестра снятия показаний приборов учёта </w:t>
      </w:r>
      <w:r>
        <w:rPr>
          <w:i/>
        </w:rPr>
        <w:t xml:space="preserve">(потребители кроме граждан)</w:t>
      </w:r>
      <w:r>
        <w:t xml:space="preserve">», форма – Приложение 1 к настоящему Регламенту.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Сроки предоставления персоналом </w:t>
      </w:r>
      <w:r>
        <w:t xml:space="preserve">Поставщика</w:t>
      </w:r>
      <w:r>
        <w:t xml:space="preserve"> персоналу </w:t>
      </w:r>
      <w:r>
        <w:t xml:space="preserve">Покупателя </w:t>
      </w:r>
      <w:r>
        <w:t xml:space="preserve">документов и сведений</w:t>
      </w:r>
      <w:r>
        <w:t xml:space="preserve">:</w:t>
      </w:r>
      <w:r/>
    </w:p>
    <w:p>
      <w:pPr>
        <w:pStyle w:val="944"/>
        <w:numPr>
          <w:ilvl w:val="2"/>
          <w:numId w:val="15"/>
        </w:numPr>
        <w:jc w:val="both"/>
        <w:widowControl/>
      </w:pPr>
      <w:r>
        <w:t xml:space="preserve">Сведения, полученные от Потребителей о показаниях расчётных (контрольных) приборов учёта, предоставляются в электронном виде до окончания 2-го числа месяца, следующего за расчётным, по форме «Реестра снятия показаний приборов учёта </w:t>
      </w:r>
      <w:r>
        <w:rPr>
          <w:bCs/>
          <w:i/>
        </w:rPr>
        <w:t xml:space="preserve">(потребители кроме граждан)</w:t>
      </w:r>
      <w:r>
        <w:t xml:space="preserve">», форма – Приложение 1 к настоящему Регламенту;</w:t>
      </w:r>
      <w:r/>
    </w:p>
    <w:p>
      <w:pPr>
        <w:pStyle w:val="944"/>
        <w:numPr>
          <w:ilvl w:val="2"/>
          <w:numId w:val="15"/>
        </w:numPr>
        <w:jc w:val="both"/>
        <w:widowControl/>
      </w:pPr>
      <w:r>
        <w:t xml:space="preserve">Акты снятия показаний расчётных средств учета электрической энергии, полученные от Потребителей, – </w:t>
      </w:r>
      <w:r>
        <w:rPr>
          <w:i/>
        </w:rPr>
        <w:t xml:space="preserve">не позднее 5-го рабочего дня месяца следующего за расчётным;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«</w:t>
      </w:r>
      <w:r>
        <w:rPr>
          <w:bCs/>
        </w:rPr>
        <w:t xml:space="preserve">Ведомость объёмов электроэнергии,</w:t>
      </w:r>
      <w:r>
        <w:rPr>
          <w:bCs/>
        </w:rPr>
        <w:t xml:space="preserve"> </w:t>
      </w:r>
      <w:r>
        <w:rPr>
          <w:bCs/>
        </w:rPr>
        <w:t xml:space="preserve">переданной  потребителям</w:t>
      </w:r>
      <w:r>
        <w:t xml:space="preserve"> </w:t>
      </w:r>
      <w:r>
        <w:rPr>
          <w:bCs/>
        </w:rPr>
        <w:t xml:space="preserve">(кроме потребителей-граждан и МКЖД)»</w:t>
      </w:r>
      <w:r>
        <w:rPr>
          <w:bCs/>
          <w:i/>
        </w:rPr>
        <w:t xml:space="preserve"> </w:t>
      </w:r>
      <w:r>
        <w:t xml:space="preserve">формируется персоналом территориальных подразделений </w:t>
      </w:r>
      <w:r>
        <w:t xml:space="preserve">Покупателя</w:t>
      </w:r>
      <w:r>
        <w:t xml:space="preserve"> в строгом соответствии с точками поставки потребителей, указанными в Приложении №2 к Договору и технологически присоединенными к электрическим сетям </w:t>
      </w:r>
      <w:r>
        <w:t xml:space="preserve">Покупателя</w:t>
      </w:r>
      <w:r>
        <w:t xml:space="preserve"> и ТСО, Форма – Приложение 2 к настоящему Регламенту.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«Ведомость объёмов электроэнергии,</w:t>
      </w:r>
      <w:r>
        <w:t xml:space="preserve"> </w:t>
      </w:r>
      <w:r>
        <w:t xml:space="preserve">переданной  потребителям (кроме потребителей-граждан и МКЖД)», сформированная по точкам поставки потребителей, технологически присоединенных к электрическим сетям </w:t>
      </w:r>
      <w:r>
        <w:t xml:space="preserve">Покупателя</w:t>
      </w:r>
      <w:r>
        <w:t xml:space="preserve"> и ТСО должна:</w:t>
      </w:r>
      <w:r/>
    </w:p>
    <w:p>
      <w:pPr>
        <w:pStyle w:val="944"/>
        <w:jc w:val="both"/>
        <w:widowControl/>
      </w:pPr>
      <w:r>
        <w:t xml:space="preserve">-</w:t>
        <w:tab/>
        <w:t xml:space="preserve">отражать объемы электроэнергии, сформированные по основаниям указанным в </w:t>
      </w:r>
      <w:r>
        <w:rPr>
          <w:color w:val="0000ff"/>
        </w:rPr>
        <w:t xml:space="preserve">п.1.1. </w:t>
      </w:r>
      <w:r>
        <w:t xml:space="preserve">настоящего Регламента;</w:t>
      </w:r>
      <w:r/>
    </w:p>
    <w:p>
      <w:pPr>
        <w:pStyle w:val="944"/>
        <w:jc w:val="both"/>
        <w:widowControl/>
      </w:pPr>
      <w:r>
        <w:t xml:space="preserve">-</w:t>
        <w:tab/>
        <w:t xml:space="preserve">содержать </w:t>
      </w:r>
      <w:r>
        <w:rPr>
          <w:lang w:val="en-US"/>
        </w:rPr>
        <w:t xml:space="preserve">ID</w:t>
      </w:r>
      <w:r>
        <w:t xml:space="preserve"> точек поставки, идентичные </w:t>
      </w:r>
      <w:r>
        <w:rPr>
          <w:lang w:val="en-US"/>
        </w:rPr>
        <w:t xml:space="preserve">ID</w:t>
      </w:r>
      <w:r>
        <w:t xml:space="preserve"> точкам поставки, указ</w:t>
      </w:r>
      <w:r>
        <w:t xml:space="preserve">анным в приложении №2 к д</w:t>
      </w:r>
      <w:r>
        <w:t xml:space="preserve">оговор</w:t>
      </w:r>
      <w:r>
        <w:t xml:space="preserve">у</w:t>
      </w:r>
      <w:r>
        <w:t xml:space="preserve"> оказания услуг по передаче электрической энерги</w:t>
      </w:r>
      <w:r>
        <w:t xml:space="preserve">и, заключенный Поставщиком с сетевой</w:t>
        <w:tab/>
        <w:t xml:space="preserve"> организацией</w:t>
      </w:r>
      <w:r>
        <w:t xml:space="preserve">;</w:t>
      </w:r>
      <w:r/>
    </w:p>
    <w:p>
      <w:pPr>
        <w:pStyle w:val="944"/>
        <w:jc w:val="both"/>
        <w:widowControl/>
      </w:pPr>
      <w:r>
        <w:t xml:space="preserve">-</w:t>
        <w:tab/>
        <w:t xml:space="preserve">соответствовать форме, являющейся приложением к настоящему Регламенту;</w:t>
      </w:r>
      <w:r/>
    </w:p>
    <w:p>
      <w:pPr>
        <w:pStyle w:val="944"/>
        <w:jc w:val="both"/>
        <w:widowControl/>
      </w:pPr>
      <w:r>
        <w:t xml:space="preserve">-</w:t>
        <w:tab/>
        <w:t xml:space="preserve">не содержать исправлений;</w:t>
      </w:r>
      <w:r/>
    </w:p>
    <w:p>
      <w:pPr>
        <w:pStyle w:val="944"/>
        <w:jc w:val="both"/>
        <w:widowControl/>
      </w:pPr>
      <w:r>
        <w:t xml:space="preserve">-</w:t>
        <w:tab/>
        <w:t xml:space="preserve">содержать ежемесячно все точки поставки вне зависимости от наличия расхода.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При формировании объёмов переданной электроэнергии используются данные и документы в порядке убывания приоритета:</w:t>
      </w:r>
      <w:r/>
    </w:p>
    <w:p>
      <w:pPr>
        <w:pStyle w:val="944"/>
        <w:jc w:val="both"/>
        <w:widowControl/>
      </w:pPr>
      <w:r>
        <w:t xml:space="preserve">-</w:t>
        <w:tab/>
        <w:t xml:space="preserve">Сведения, указанные в Актах о неучтённом потреблении электрической энергии, оформленных в соответствии с требованиями действующего законодательства и Приложения № 7 к настоящему Договору;</w:t>
      </w:r>
      <w:r/>
    </w:p>
    <w:p>
      <w:pPr>
        <w:pStyle w:val="944"/>
        <w:jc w:val="both"/>
        <w:widowControl/>
      </w:pPr>
      <w:r>
        <w:t xml:space="preserve">-</w:t>
        <w:tab/>
        <w:t xml:space="preserve">Акт снятия показаний приборов учёта, подписанный потребителем,</w:t>
      </w:r>
      <w:r/>
    </w:p>
    <w:p>
      <w:pPr>
        <w:pStyle w:val="944"/>
        <w:jc w:val="both"/>
        <w:widowControl/>
      </w:pPr>
      <w:r>
        <w:t xml:space="preserve">-</w:t>
        <w:tab/>
        <w:t xml:space="preserve">Донесения потребителя о показаниях прибора учёта, полученные Заказчиком от потребителя по электронной почте, телефону или иным способом, указанным в договоре энергоснабжения;</w:t>
      </w:r>
      <w:r/>
    </w:p>
    <w:p>
      <w:pPr>
        <w:pStyle w:val="944"/>
        <w:jc w:val="both"/>
        <w:widowControl/>
      </w:pPr>
      <w:r>
        <w:t xml:space="preserve">-</w:t>
        <w:tab/>
        <w:t xml:space="preserve">Акт контрольного снятия показаний приборов учёта;</w:t>
      </w:r>
      <w:r/>
    </w:p>
    <w:p>
      <w:pPr>
        <w:pStyle w:val="944"/>
        <w:jc w:val="both"/>
        <w:widowControl/>
      </w:pPr>
      <w:r>
        <w:t xml:space="preserve">-</w:t>
        <w:tab/>
        <w:t xml:space="preserve">Сведения об объёме электрической энергии, определённые расчётным способом, в соответствии с требованиями действующего законодательства, в отношении потребителей, не предоставивших сведения о показаниях приборов учёта.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«Ведомость объёмов электроэнергии,</w:t>
      </w:r>
      <w:r>
        <w:t xml:space="preserve"> </w:t>
      </w:r>
      <w:r>
        <w:t xml:space="preserve">переданной  потребителям (кроме потребителей-граждан и МКЖД)»</w:t>
      </w:r>
      <w:r>
        <w:rPr>
          <w:bCs/>
          <w:i/>
        </w:rPr>
        <w:t xml:space="preserve"> </w:t>
      </w:r>
      <w:r>
        <w:t xml:space="preserve">передаётся для предварительного согласования в территориальные подразделения </w:t>
      </w:r>
      <w:r>
        <w:t xml:space="preserve">Поставщика</w:t>
      </w:r>
      <w:r>
        <w:t xml:space="preserve"> в электронном виде, в </w:t>
      </w:r>
      <w:r>
        <w:rPr>
          <w:i/>
        </w:rPr>
        <w:t xml:space="preserve">срок до 7 числа месяца, следующего за расчётным. </w:t>
      </w:r>
      <w:r>
        <w:t xml:space="preserve">Факт получения ведомости в электронном виде письменно подтверждается отметкой (подпись, дата принятия письма и дата и время получения файла в электронном виде) представителя </w:t>
      </w:r>
      <w:r>
        <w:t xml:space="preserve">Поставщика</w:t>
      </w:r>
      <w:r>
        <w:t xml:space="preserve"> на сопроводительном письме территориального подразделения </w:t>
      </w:r>
      <w:r>
        <w:t xml:space="preserve">Покупателя</w:t>
      </w:r>
      <w:r>
        <w:t xml:space="preserve">, в котором указано наименование файла, адрес электронной почты, на который данный файл отправлен, дата и время отправки, итоговая сумма в натуральном выражении с детализацией объёмов электрической энергии по уровням напряжения и тарифным группам.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При выполнении персоналом территориальных подразделений </w:t>
      </w:r>
      <w:r>
        <w:t xml:space="preserve">Покупателя</w:t>
      </w:r>
      <w:r>
        <w:t xml:space="preserve"> требований, указанных в </w:t>
      </w:r>
      <w:r>
        <w:rPr>
          <w:color w:val="0000ff"/>
        </w:rPr>
        <w:t xml:space="preserve">п. 1.8.</w:t>
      </w:r>
      <w:r>
        <w:t xml:space="preserve"> настоящего Регламента, персонал территориальных подразделений </w:t>
      </w:r>
      <w:r>
        <w:t xml:space="preserve">Поставщика</w:t>
      </w:r>
      <w:r>
        <w:t xml:space="preserve"> в соответствующих столбцах «Ведомости объёмов электроэнергии,</w:t>
      </w:r>
      <w:r>
        <w:t xml:space="preserve"> </w:t>
      </w:r>
      <w:r>
        <w:t xml:space="preserve">переданной  потребителям (кроме потребителей-граждан и МКЖД)»</w:t>
      </w:r>
      <w:r>
        <w:rPr>
          <w:bCs/>
          <w:i/>
        </w:rPr>
        <w:t xml:space="preserve"> </w:t>
      </w:r>
      <w:r>
        <w:t xml:space="preserve"> отражает согласованный объем по каждой точке поставки, а при наличии разногласий указывает причину в отношении каждой точки. Оформленная «Ведомость объёмов электроэнергии,</w:t>
      </w:r>
      <w:r>
        <w:t xml:space="preserve"> </w:t>
      </w:r>
      <w:r>
        <w:t xml:space="preserve">переданной  потребителям (кроме потребителей-граждан и МКЖД)»</w:t>
      </w:r>
      <w:r>
        <w:rPr>
          <w:bCs/>
          <w:i/>
        </w:rPr>
        <w:t xml:space="preserve"> </w:t>
      </w:r>
      <w:r>
        <w:t xml:space="preserve">передаётся в электронном виде в соответствующие подразделения </w:t>
      </w:r>
      <w:r>
        <w:t xml:space="preserve">Покупателя</w:t>
      </w:r>
      <w:r>
        <w:t xml:space="preserve">, до 17-00 часов 7-го числа месяца, следующего за расчётным. При нарушении персоналом </w:t>
      </w:r>
      <w:r>
        <w:t xml:space="preserve">Покупателя</w:t>
      </w:r>
      <w:r>
        <w:t xml:space="preserve"> сроков, указанных в </w:t>
      </w:r>
      <w:r>
        <w:rPr>
          <w:color w:val="0000ff"/>
        </w:rPr>
        <w:t xml:space="preserve">п. 1.8.</w:t>
      </w:r>
      <w:r>
        <w:t xml:space="preserve"> настоящего Регламента, «Ведомость объёмов электроэнергии,</w:t>
      </w:r>
      <w:r>
        <w:t xml:space="preserve"> </w:t>
      </w:r>
      <w:r>
        <w:t xml:space="preserve">переданной  потребителям (кроме потребителей-граждан и МКЖД)» формируется по данным территориального подразделения </w:t>
      </w:r>
      <w:r>
        <w:t xml:space="preserve">Поставщика</w:t>
      </w:r>
      <w:r>
        <w:t xml:space="preserve"> и передаётся для дальнейшего оформления без разногласий в территориальные подразделения </w:t>
      </w:r>
      <w:r>
        <w:t xml:space="preserve">Покупателя</w:t>
      </w:r>
      <w:r>
        <w:t xml:space="preserve"> в сроки, указанные в настоящем пункте. Факт передачи ведомости в электронном виде, письменно подтверждается отметкой (подпись, дата принятия письма и дата и время получения файла в электронном виде) представителя </w:t>
      </w:r>
      <w:r>
        <w:t xml:space="preserve">Покупателя</w:t>
      </w:r>
      <w:r>
        <w:t xml:space="preserve"> на сопроводительном письме территориального подразделения </w:t>
      </w:r>
      <w:r>
        <w:t xml:space="preserve">Поставщика</w:t>
      </w:r>
      <w:r>
        <w:t xml:space="preserve">, в </w:t>
      </w:r>
      <w:r>
        <w:t xml:space="preserve">котором указано наименование файла, адрес электронной почты на который данный файл отправлен, дата и время отправки, итоговая согласованная сумма в натуральном выражении с детализацией объёмов электрической энергии по уровням напряжения и тарифным группам.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В случае невыполнения персоналом территориальных подразделений </w:t>
      </w:r>
      <w:r>
        <w:t xml:space="preserve">Поставщика</w:t>
      </w:r>
      <w:r>
        <w:t xml:space="preserve"> одного и более требований, указанных в п. 1.4. настоящего раздела Регламента, «Ведомость объёмов электроэнергии,</w:t>
      </w:r>
      <w:r>
        <w:t xml:space="preserve"> </w:t>
      </w:r>
      <w:r>
        <w:t xml:space="preserve">переданной  потребителям (кроме потребителей-граждан и МКЖД)» согласовывается в редакции, представленной территориальными подразделениями </w:t>
      </w:r>
      <w:r>
        <w:t xml:space="preserve">Покупателя</w:t>
      </w:r>
      <w:r>
        <w:t xml:space="preserve">, при условии отсутствия нарушений требований п. 1.3. настоящего порядка последним.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В случае обоюдного нарушения персоналом территориальных подразделений Сторон требований настоящего раздела, приведшее к возникновению разногласий, согласование объёмов переданной электрической энергии осуществляется в соответствии с </w:t>
      </w:r>
      <w:r>
        <w:rPr>
          <w:i/>
        </w:rPr>
        <w:t xml:space="preserve">«</w:t>
      </w:r>
      <w:r>
        <w:rPr>
          <w:bCs/>
          <w:i/>
          <w:iCs/>
          <w:color w:val="000000"/>
          <w:spacing w:val="-6"/>
        </w:rPr>
        <w:t xml:space="preserve">Порядком оформления согласованных территориальными подразделениями Сторон объёмов переданной электроэнергии и урегулирования разногласий по объемам переданной электроэнергии»</w:t>
      </w:r>
      <w:r>
        <w:t xml:space="preserve">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В случае согласования «Ведомости объёмов электроэнергии,</w:t>
      </w:r>
      <w:r>
        <w:t xml:space="preserve"> </w:t>
      </w:r>
      <w:r>
        <w:t xml:space="preserve">переданной  потребителям (кроме потребителей-граждан и МКЖД)» Сторонами без разногласий, данный документ, на бумажном носителе сброшюрованный и</w:t>
      </w:r>
      <w:r>
        <w:t xml:space="preserve"> пронумерованный в 2-х экземплярах (по сетям ОАО «Облкоммунэнерго» в 3-х экземплярах) подписывается представителями Сторон и скрепляется печатями территориальных подразделений Сторон в срок не позднее 17-00 часов 8-го числа месяца следующего за расчётным. </w:t>
      </w:r>
      <w:r>
        <w:rPr>
          <w:i/>
        </w:rPr>
        <w:t xml:space="preserve">Оформление на бумажном носителе, (прошивание, брошюровка и нумерация листов) осуществляется персоналом территориального подразделения </w:t>
      </w:r>
      <w:r>
        <w:rPr>
          <w:i/>
        </w:rPr>
        <w:t xml:space="preserve">Покупателя</w:t>
      </w:r>
      <w:r>
        <w:rPr>
          <w:i/>
        </w:rPr>
        <w:t xml:space="preserve">.</w:t>
      </w:r>
      <w:r/>
    </w:p>
    <w:p>
      <w:pPr>
        <w:pStyle w:val="944"/>
        <w:numPr>
          <w:ilvl w:val="1"/>
          <w:numId w:val="15"/>
        </w:numPr>
        <w:ind w:left="0" w:firstLine="0"/>
        <w:jc w:val="both"/>
        <w:spacing w:after="200"/>
        <w:widowControl/>
      </w:pPr>
      <w:r>
        <w:t xml:space="preserve">В случае согласования «Ведомости объёмов электроэнергии,</w:t>
      </w:r>
      <w:r>
        <w:t xml:space="preserve"> </w:t>
      </w:r>
      <w:r>
        <w:t xml:space="preserve">переданной  потребителям (кроме потребителей-граждан и МКЖД)» с разногласиями со стороны территориального подразделения </w:t>
      </w:r>
      <w:r>
        <w:t xml:space="preserve">Поставщика</w:t>
      </w:r>
      <w:r>
        <w:t xml:space="preserve">, урегулирование разногласий осуществляется в соответствии с </w:t>
      </w:r>
      <w:r>
        <w:rPr>
          <w:i/>
        </w:rPr>
        <w:t xml:space="preserve">«</w:t>
      </w:r>
      <w:r>
        <w:rPr>
          <w:bCs/>
          <w:i/>
          <w:iCs/>
          <w:color w:val="000000"/>
          <w:spacing w:val="-6"/>
        </w:rPr>
        <w:t xml:space="preserve">Порядком оформления согласованных территориальными подразделениями Сторон объёмов переданной электроэнергии и урегулирования разногласий по объемам переданной электроэнергии»</w:t>
      </w:r>
      <w:r>
        <w:t xml:space="preserve">.</w:t>
      </w:r>
      <w:r/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  <w:t xml:space="preserve">2. Порядок формирования объёмов электрической энергии переданной </w:t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  <w:t xml:space="preserve">гражданам-потребителям, проживающим в индивидуальных жилых домах.</w:t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numPr>
          <w:ilvl w:val="1"/>
          <w:numId w:val="16"/>
        </w:numPr>
        <w:ind w:left="0" w:firstLine="0"/>
        <w:jc w:val="both"/>
        <w:widowControl/>
        <w:tabs>
          <w:tab w:val="num" w:pos="720" w:leader="none"/>
          <w:tab w:val="clear" w:pos="1080" w:leader="none"/>
        </w:tabs>
      </w:pPr>
      <w:r>
        <w:t xml:space="preserve">Формирование объемов </w:t>
      </w:r>
      <w:r>
        <w:t xml:space="preserve">электрической энергии, переданной</w:t>
      </w:r>
      <w:r>
        <w:t xml:space="preserve"> гражданам-потребителям производится персоналом </w:t>
      </w:r>
      <w:r>
        <w:t xml:space="preserve">Покупателя</w:t>
      </w:r>
      <w:r>
        <w:t xml:space="preserve">, на основании:</w:t>
      </w:r>
      <w:r/>
    </w:p>
    <w:p>
      <w:pPr>
        <w:pStyle w:val="944"/>
        <w:ind w:left="720"/>
        <w:jc w:val="both"/>
        <w:spacing w:after="200" w:line="276" w:lineRule="auto"/>
        <w:widowControl/>
        <w:tabs>
          <w:tab w:val="left" w:pos="1260" w:leader="none"/>
        </w:tabs>
      </w:pPr>
      <w:r>
        <w:t xml:space="preserve">а).</w:t>
        <w:tab/>
        <w:t xml:space="preserve">Показаний приборов учёта, снятых Исполнителем, смежными сетевыми организациями либо Заказчиком (оформленных в виде «Реестра снятия показаний средств учёта </w:t>
      </w:r>
      <w:r>
        <w:rPr>
          <w:bCs/>
        </w:rPr>
        <w:t xml:space="preserve">(потребители-граждане)</w:t>
      </w:r>
      <w:r>
        <w:t xml:space="preserve">», форма – Приложение №3 к настоящему Регламенту);</w:t>
      </w:r>
      <w:r/>
    </w:p>
    <w:p>
      <w:pPr>
        <w:pStyle w:val="944"/>
        <w:ind w:left="720"/>
        <w:jc w:val="both"/>
        <w:spacing w:after="200" w:line="276" w:lineRule="auto"/>
        <w:widowControl/>
        <w:tabs>
          <w:tab w:val="left" w:pos="1260" w:leader="none"/>
        </w:tabs>
      </w:pPr>
      <w:r>
        <w:t xml:space="preserve">б).</w:t>
        <w:tab/>
        <w:t xml:space="preserve">Платёжных документов, поступивших в расчётном периоде;</w:t>
      </w:r>
      <w:r/>
    </w:p>
    <w:p>
      <w:pPr>
        <w:pStyle w:val="944"/>
        <w:ind w:left="720"/>
        <w:jc w:val="both"/>
        <w:spacing w:after="200" w:line="276" w:lineRule="auto"/>
        <w:widowControl/>
        <w:tabs>
          <w:tab w:val="left" w:pos="1260" w:leader="none"/>
        </w:tabs>
      </w:pPr>
      <w:r>
        <w:t xml:space="preserve">в).</w:t>
        <w:tab/>
        <w:t xml:space="preserve">Актов о неучтённом потреблении электрической энергии, подписанных потребителем либо представителем потребителя, в иных случаях подписанных двумя незаинтересованными лицами;</w:t>
      </w:r>
      <w:r/>
    </w:p>
    <w:p>
      <w:pPr>
        <w:pStyle w:val="944"/>
        <w:ind w:left="720"/>
        <w:jc w:val="both"/>
        <w:spacing w:after="200" w:line="276" w:lineRule="auto"/>
        <w:widowControl/>
        <w:tabs>
          <w:tab w:val="left" w:pos="1260" w:leader="none"/>
        </w:tabs>
      </w:pPr>
      <w:r>
        <w:t xml:space="preserve">г).</w:t>
        <w:tab/>
        <w:t xml:space="preserve">Замещающей информации (расчётный способ).</w:t>
      </w:r>
      <w:r/>
    </w:p>
    <w:p>
      <w:pPr>
        <w:pStyle w:val="944"/>
        <w:ind w:left="720"/>
        <w:jc w:val="both"/>
        <w:spacing w:after="200" w:line="276" w:lineRule="auto"/>
        <w:widowControl/>
        <w:tabs>
          <w:tab w:val="left" w:pos="1260" w:leader="none"/>
        </w:tabs>
      </w:pPr>
      <w:r>
        <w:t xml:space="preserve">д).</w:t>
      </w:r>
      <w:r>
        <w:rPr>
          <w:color w:val="ff0000"/>
        </w:rPr>
        <w:tab/>
      </w:r>
      <w:r>
        <w:t xml:space="preserve">«Реестра граждан – потребителей, рассчитывающихся по нормативам», форма – Приложение №4 к настоящему Регламенту;</w:t>
      </w:r>
      <w:r/>
    </w:p>
    <w:p>
      <w:pPr>
        <w:pStyle w:val="944"/>
        <w:ind w:left="720"/>
        <w:jc w:val="both"/>
        <w:spacing w:after="200" w:line="276" w:lineRule="auto"/>
        <w:widowControl/>
        <w:tabs>
          <w:tab w:val="left" w:pos="1260" w:leader="none"/>
        </w:tabs>
      </w:pPr>
      <w:r>
        <w:t xml:space="preserve">е).</w:t>
        <w:tab/>
        <w:t xml:space="preserve">Сведений, предоставленных гражданами-потребителями о показаниях приборов учёта электрической энергии в соответствии с требованиями действующего законодательства и условий договоров энергоснабжения.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При формировании объёмов переданной электроэнергии используются сведения в порядке убывания приоритета:</w:t>
      </w:r>
      <w:r/>
    </w:p>
    <w:p>
      <w:pPr>
        <w:pStyle w:val="944"/>
        <w:jc w:val="both"/>
        <w:spacing w:line="276" w:lineRule="auto"/>
        <w:widowControl/>
      </w:pPr>
      <w:r>
        <w:t xml:space="preserve">-</w:t>
        <w:tab/>
        <w:t xml:space="preserve">Сведения, указанные в Актах о неучтённом потреблении электрической энергии, оформленных в соответствии с требованиями действующего законодательства и Приложения № 7 к настоящему Договору;</w:t>
      </w:r>
      <w:r/>
    </w:p>
    <w:p>
      <w:pPr>
        <w:pStyle w:val="944"/>
        <w:jc w:val="both"/>
        <w:spacing w:line="276" w:lineRule="auto"/>
        <w:widowControl/>
      </w:pPr>
      <w:r>
        <w:t xml:space="preserve">-</w:t>
        <w:tab/>
        <w:t xml:space="preserve">Донесения, предоставленные гражданами-потребителями о показаниях расчётных приборов учёта электрической энергии;</w:t>
      </w:r>
      <w:r/>
    </w:p>
    <w:p>
      <w:pPr>
        <w:pStyle w:val="944"/>
        <w:jc w:val="both"/>
        <w:spacing w:line="276" w:lineRule="auto"/>
        <w:widowControl/>
      </w:pPr>
      <w:r>
        <w:t xml:space="preserve">-</w:t>
        <w:tab/>
        <w:t xml:space="preserve">Показания средств учета, указанные в платежных документах, поступивших в расчётном периоде от граждан-потребителей;</w:t>
      </w:r>
      <w:r/>
    </w:p>
    <w:p>
      <w:pPr>
        <w:pStyle w:val="944"/>
        <w:jc w:val="both"/>
        <w:spacing w:line="276" w:lineRule="auto"/>
        <w:widowControl/>
      </w:pPr>
      <w:r>
        <w:t xml:space="preserve">-</w:t>
        <w:tab/>
        <w:t xml:space="preserve">Показания средств учёта, полученные Заказчиком от </w:t>
      </w:r>
      <w:r>
        <w:t xml:space="preserve">Покупателя</w:t>
      </w:r>
      <w:r>
        <w:t xml:space="preserve">, либо полученные самостоятельно Заказчиком, в том числе с использованием средств дистанционного сбора показаний;</w:t>
      </w:r>
      <w:r/>
    </w:p>
    <w:p>
      <w:pPr>
        <w:pStyle w:val="944"/>
        <w:jc w:val="both"/>
        <w:spacing w:line="276" w:lineRule="auto"/>
        <w:widowControl/>
        <w:rPr>
          <w:i/>
        </w:rPr>
      </w:pPr>
      <w:r>
        <w:t xml:space="preserve">-</w:t>
        <w:tab/>
        <w:t xml:space="preserve">Сведения об объёме электрической энергии, определённые расчётным способом, в соответствии с требованиями действующего законодательства, в отношении граждан-потребителей, не предоставивших сведения о показаниях приборов учёта;</w:t>
      </w:r>
      <w:r>
        <w:rPr>
          <w:i/>
        </w:rPr>
      </w:r>
      <w:r>
        <w:rPr>
          <w:i/>
        </w:rPr>
      </w:r>
    </w:p>
    <w:p>
      <w:pPr>
        <w:pStyle w:val="944"/>
        <w:jc w:val="both"/>
        <w:widowControl/>
      </w:pPr>
      <w:r>
        <w:rPr>
          <w:i/>
        </w:rPr>
        <w:t xml:space="preserve">-</w:t>
        <w:tab/>
      </w:r>
      <w:r>
        <w:t xml:space="preserve">Сведения об объёмах электрической энергии, переданной гражданам-потребителям, рассчитывающимся по нормативу</w:t>
      </w:r>
      <w:r>
        <w:rPr>
          <w:i/>
        </w:rPr>
        <w:t xml:space="preserve"> </w:t>
      </w:r>
      <w:r>
        <w:t xml:space="preserve">(не имеющим средств расчетного учета, в том числе не выполнивших предписание по замене прибора учёта в отношении которых ранее был составлен Акт о неучтённом потреблении электрической энергии), утверждённому уполномоченным органом исполнительной власти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При формировании объёма переданной электрической энергии за расчётный месяц:</w:t>
      </w:r>
      <w:r/>
    </w:p>
    <w:p>
      <w:pPr>
        <w:pStyle w:val="944"/>
        <w:numPr>
          <w:ilvl w:val="0"/>
          <w:numId w:val="20"/>
        </w:numPr>
        <w:jc w:val="both"/>
        <w:widowControl/>
      </w:pPr>
      <w:r>
        <w:t xml:space="preserve">участвуют квитанции, оплата по которым поступила в подразделения </w:t>
      </w:r>
      <w:r>
        <w:t xml:space="preserve">Поставщика</w:t>
      </w:r>
      <w:r>
        <w:t xml:space="preserve">, до 1-го числа месяца, следующего за расчётным;</w:t>
      </w:r>
      <w:r/>
    </w:p>
    <w:p>
      <w:pPr>
        <w:pStyle w:val="944"/>
        <w:numPr>
          <w:ilvl w:val="0"/>
          <w:numId w:val="20"/>
        </w:numPr>
        <w:jc w:val="both"/>
        <w:widowControl/>
      </w:pPr>
      <w:r>
        <w:t xml:space="preserve">за начальные показания средств учета, принимаются последние показания средств расчетного учета, по которым был сформирован объём </w:t>
      </w:r>
      <w:r>
        <w:t xml:space="preserve">электрической энергии, переданной</w:t>
      </w:r>
      <w:r>
        <w:t xml:space="preserve"> в предыдущем расчётном периоде, а именно конечные показания приборов учёта, зафиксированные в согласованной «</w:t>
      </w:r>
      <w:r>
        <w:rPr>
          <w:bCs/>
        </w:rPr>
        <w:t xml:space="preserve">Ведомост</w:t>
      </w:r>
      <w:r>
        <w:t xml:space="preserve">и</w:t>
      </w:r>
      <w:r>
        <w:rPr>
          <w:bCs/>
        </w:rPr>
        <w:t xml:space="preserve"> об объёмах электрической энергии, переданной гражданам-потребителям</w:t>
      </w:r>
      <w:r>
        <w:t xml:space="preserve">» (форма – Приложение №5 к настоящему Регламенту) предыдущего расчетного периода.</w:t>
      </w:r>
      <w:r/>
    </w:p>
    <w:p>
      <w:pPr>
        <w:pStyle w:val="944"/>
        <w:ind w:firstLine="720"/>
        <w:jc w:val="both"/>
        <w:spacing w:line="276" w:lineRule="auto"/>
        <w:widowControl/>
      </w:pPr>
      <w:r/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Обмен документами и сведениями, указанными в </w:t>
      </w:r>
      <w:r>
        <w:rPr>
          <w:color w:val="0000ff"/>
        </w:rPr>
        <w:t xml:space="preserve">п. 2.1.</w:t>
      </w:r>
      <w:r>
        <w:t xml:space="preserve"> настоящего Регламента, осуществляется на уровне территориальных подразделений, с сопроводительным письмом. К сопроводительному письму прилагается реестр передаваемых документов и сведений с указанием: наименования документа, ФИ</w:t>
      </w:r>
      <w:r>
        <w:t xml:space="preserve">О потребителя, наименования объекта, а также объёма электрической энергии по каждому объекту, указанного в прилагаемом документе. Факт передачи документов и сведений в электронном виде, письменно подтверждается отметкой (подпись, дата и время получения фай</w:t>
      </w:r>
      <w:r>
        <w:t xml:space="preserve">ла в электронном виде) представителя стороны, принимающей сведения и копии документов, на письме в котором указанно наименование файла, адрес электронной почты на который данный файл отправлен, дата и время отправки, итоговая сумма в натуральном выражении.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Сроки предоставления персоналом </w:t>
      </w:r>
      <w:r>
        <w:t xml:space="preserve">Покупателя</w:t>
      </w:r>
      <w:r>
        <w:t xml:space="preserve"> персоналу </w:t>
      </w:r>
      <w:r>
        <w:t xml:space="preserve">Поставщика</w:t>
      </w:r>
      <w:r>
        <w:t xml:space="preserve"> документов, указанных в </w:t>
      </w:r>
      <w:r>
        <w:rPr>
          <w:color w:val="0000ff"/>
        </w:rPr>
        <w:t xml:space="preserve">п. 2.1. </w:t>
      </w:r>
      <w:r>
        <w:t xml:space="preserve">настоящего Регламента.</w:t>
      </w:r>
      <w:r/>
    </w:p>
    <w:p>
      <w:pPr>
        <w:pStyle w:val="944"/>
        <w:jc w:val="both"/>
        <w:spacing w:line="276" w:lineRule="auto"/>
        <w:widowControl/>
        <w:rPr>
          <w:i/>
        </w:rPr>
      </w:pPr>
      <w:r>
        <w:t xml:space="preserve">-</w:t>
        <w:tab/>
        <w:t xml:space="preserve">Реестры снятия показаний средств учёта, оформленные надлежащим образом по форме приложения к настоящему порядку – </w:t>
      </w:r>
      <w:r>
        <w:rPr>
          <w:i/>
        </w:rPr>
        <w:t xml:space="preserve">по мере их составления,</w:t>
      </w:r>
      <w:r>
        <w:t xml:space="preserve"> </w:t>
      </w:r>
      <w:r>
        <w:rPr>
          <w:i/>
        </w:rPr>
        <w:t xml:space="preserve">но</w:t>
      </w:r>
      <w:r>
        <w:t xml:space="preserve"> </w:t>
      </w:r>
      <w:r>
        <w:rPr>
          <w:i/>
        </w:rPr>
        <w:t xml:space="preserve">не позднее 26 числа текущего месяца;</w:t>
      </w:r>
      <w:r>
        <w:rPr>
          <w:i/>
        </w:rPr>
      </w:r>
      <w:r>
        <w:rPr>
          <w:i/>
        </w:rPr>
      </w:r>
    </w:p>
    <w:p>
      <w:pPr>
        <w:pStyle w:val="944"/>
        <w:jc w:val="both"/>
        <w:spacing w:line="276" w:lineRule="auto"/>
        <w:widowControl/>
        <w:rPr>
          <w:i/>
        </w:rPr>
      </w:pPr>
      <w:r>
        <w:rPr>
          <w:i/>
        </w:rPr>
        <w:t xml:space="preserve">-</w:t>
        <w:tab/>
      </w:r>
      <w:r>
        <w:t xml:space="preserve">Акты о неучтённом потреблении электрической энергии, оформленные в соответствии с требованиями действующего законодательства, </w:t>
      </w:r>
      <w:r>
        <w:rPr>
          <w:i/>
        </w:rPr>
        <w:t xml:space="preserve">в оригинале в течение 1 рабочего дня</w:t>
      </w:r>
      <w:r>
        <w:t xml:space="preserve"> с момента составления</w:t>
      </w:r>
      <w:r>
        <w:rPr>
          <w:i/>
        </w:rPr>
        <w:t xml:space="preserve">, но не позднее 26 числа текущего месяца;</w:t>
      </w:r>
      <w:r>
        <w:rPr>
          <w:i/>
        </w:rPr>
      </w:r>
      <w:r>
        <w:rPr>
          <w:i/>
        </w:rPr>
      </w:r>
    </w:p>
    <w:p>
      <w:pPr>
        <w:pStyle w:val="944"/>
        <w:jc w:val="both"/>
        <w:spacing w:line="276" w:lineRule="auto"/>
        <w:widowControl/>
        <w:rPr>
          <w:i/>
        </w:rPr>
      </w:pPr>
      <w:r>
        <w:rPr>
          <w:i/>
        </w:rPr>
        <w:t xml:space="preserve">-</w:t>
        <w:tab/>
      </w:r>
      <w:r>
        <w:t xml:space="preserve">Реестры граждан-потребителей, рассчитывающихся по нормативу потребления (в отсутствие средства учёта) – </w:t>
      </w:r>
      <w:r>
        <w:rPr>
          <w:i/>
        </w:rPr>
        <w:t xml:space="preserve">не позднее 26 числа текущего месяца;</w:t>
      </w:r>
      <w:r>
        <w:rPr>
          <w:i/>
        </w:rPr>
      </w:r>
      <w:r>
        <w:rPr>
          <w:i/>
        </w:rPr>
      </w:r>
    </w:p>
    <w:p>
      <w:pPr>
        <w:pStyle w:val="944"/>
        <w:jc w:val="both"/>
        <w:spacing w:line="276" w:lineRule="auto"/>
        <w:widowControl/>
      </w:pPr>
      <w:r>
        <w:rPr>
          <w:i/>
        </w:rPr>
        <w:t xml:space="preserve">-</w:t>
        <w:tab/>
      </w:r>
      <w:r>
        <w:t xml:space="preserve">Акты замены средств учета (инструментальной проверки), оформленные в соответствии с требованиями действующего законодательства – в течении </w:t>
      </w:r>
      <w:r>
        <w:rPr>
          <w:i/>
        </w:rPr>
        <w:t xml:space="preserve">1 рабочего дня</w:t>
      </w:r>
      <w:r>
        <w:t xml:space="preserve"> с момента составления</w:t>
      </w:r>
      <w:r>
        <w:rPr>
          <w:i/>
        </w:rPr>
        <w:t xml:space="preserve">, но не позднее 26 числа текущего месяца.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Сроки предоставления персоналом </w:t>
      </w:r>
      <w:r>
        <w:t xml:space="preserve">Поставщика</w:t>
      </w:r>
      <w:r>
        <w:t xml:space="preserve"> персоналу </w:t>
      </w:r>
      <w:r>
        <w:t xml:space="preserve">Покупателя</w:t>
      </w:r>
      <w:r>
        <w:t xml:space="preserve"> сведений, указанных в </w:t>
      </w:r>
      <w:r>
        <w:rPr>
          <w:color w:val="0000ff"/>
        </w:rPr>
        <w:t xml:space="preserve">п. 2.1. </w:t>
      </w:r>
      <w:r>
        <w:t xml:space="preserve">настоящего Регламента:</w:t>
      </w:r>
      <w:r/>
    </w:p>
    <w:p>
      <w:pPr>
        <w:pStyle w:val="944"/>
        <w:jc w:val="both"/>
        <w:spacing w:line="276" w:lineRule="auto"/>
        <w:widowControl/>
      </w:pPr>
      <w:r>
        <w:t xml:space="preserve">а).</w:t>
        <w:tab/>
        <w:t xml:space="preserve">Сведения, предоставленные гражданами-потребителями о показаниях приборов учёта электрической энергии;</w:t>
      </w:r>
      <w:r/>
    </w:p>
    <w:p>
      <w:pPr>
        <w:pStyle w:val="944"/>
        <w:jc w:val="both"/>
        <w:spacing w:line="276" w:lineRule="auto"/>
        <w:widowControl/>
      </w:pPr>
      <w:r>
        <w:t xml:space="preserve">б).</w:t>
        <w:tab/>
        <w:t xml:space="preserve">Показания средств учета, указанных в платежных документах, поступивших в расчётном периоде от граждан-потребителей;</w:t>
      </w:r>
      <w:r/>
    </w:p>
    <w:p>
      <w:pPr>
        <w:pStyle w:val="944"/>
        <w:jc w:val="both"/>
        <w:spacing w:line="276" w:lineRule="auto"/>
        <w:widowControl/>
        <w:rPr>
          <w:i/>
        </w:rPr>
      </w:pPr>
      <w:r>
        <w:t xml:space="preserve">в).</w:t>
        <w:tab/>
        <w:t xml:space="preserve">Сведения об объёме электрической энергии, определённые расчётным способом, в соответствии с требованиями действующего законодательства, в отношении граждан-потребителей, не предоставивших сведения о показаниях приборов</w:t>
      </w:r>
      <w:r>
        <w:rPr>
          <w:i/>
        </w:rPr>
        <w:t xml:space="preserve">;</w:t>
      </w:r>
      <w:r>
        <w:rPr>
          <w:i/>
        </w:rPr>
      </w:r>
      <w:r>
        <w:rPr>
          <w:i/>
        </w:rPr>
      </w:r>
    </w:p>
    <w:p>
      <w:pPr>
        <w:pStyle w:val="944"/>
        <w:jc w:val="both"/>
        <w:spacing w:line="276" w:lineRule="auto"/>
        <w:widowControl/>
        <w:rPr>
          <w:i/>
        </w:rPr>
      </w:pPr>
      <w:r>
        <w:t xml:space="preserve">г).</w:t>
      </w:r>
      <w:r>
        <w:rPr>
          <w:i/>
        </w:rPr>
        <w:tab/>
      </w:r>
      <w:r>
        <w:t xml:space="preserve">Сведения об объёмах электрической энергии, переданной гражданам-потребителям, рассчитывающимся по нормат</w:t>
      </w:r>
      <w:r>
        <w:t xml:space="preserve">иву (не имеющим средств расчетного учета, в том числе не выполнивших предписание по замене прибора учёта в отношении которых ранее был составлен Акт о неучтённом потреблении электрической энергии), утверждённому уполномоченным органом исполнительной власти</w:t>
      </w:r>
      <w:r>
        <w:rPr>
          <w:i/>
        </w:rPr>
        <w:t xml:space="preserve">;</w:t>
      </w:r>
      <w:r>
        <w:rPr>
          <w:i/>
        </w:rPr>
      </w:r>
      <w:r>
        <w:rPr>
          <w:i/>
        </w:rPr>
      </w:r>
    </w:p>
    <w:p>
      <w:pPr>
        <w:pStyle w:val="944"/>
        <w:jc w:val="both"/>
        <w:spacing w:line="276" w:lineRule="auto"/>
        <w:widowControl/>
      </w:pPr>
      <w:r>
        <w:rPr>
          <w:i/>
        </w:rPr>
        <w:t xml:space="preserve">д).</w:t>
        <w:tab/>
      </w:r>
      <w:r>
        <w:t xml:space="preserve">Сведения из</w:t>
      </w:r>
      <w:r>
        <w:rPr>
          <w:i/>
        </w:rPr>
        <w:t xml:space="preserve"> </w:t>
      </w:r>
      <w:r>
        <w:t xml:space="preserve">Актов о неучтённом потреблении электрической энергии, оформленных в соответствии с требованиями действующего законодательства;</w:t>
      </w:r>
      <w:r/>
    </w:p>
    <w:p>
      <w:pPr>
        <w:pStyle w:val="944"/>
        <w:jc w:val="both"/>
        <w:spacing w:line="276" w:lineRule="auto"/>
        <w:widowControl/>
      </w:pPr>
      <w:r>
        <w:t xml:space="preserve">е).</w:t>
        <w:tab/>
        <w:t xml:space="preserve">Сведения из Актов замены средств учета (инструментальной проверки), оформленных в соответствии с требованиями действующего законодательства.</w:t>
      </w:r>
      <w:r/>
    </w:p>
    <w:p>
      <w:pPr>
        <w:pStyle w:val="944"/>
        <w:jc w:val="both"/>
        <w:spacing w:line="276" w:lineRule="auto"/>
        <w:widowControl/>
        <w:rPr>
          <w:i/>
        </w:rPr>
      </w:pPr>
      <w:r>
        <w:t xml:space="preserve">ж).</w:t>
        <w:tab/>
        <w:t xml:space="preserve">Сведения о показаниях средств учёта электрической энергии предоставленные Исполнителем, самостоятельно или с привлечением третьих лиц. </w:t>
      </w:r>
      <w:r>
        <w:rPr>
          <w:i/>
        </w:rPr>
      </w:r>
      <w:r>
        <w:rPr>
          <w:i/>
        </w:rPr>
      </w:r>
    </w:p>
    <w:p>
      <w:pPr>
        <w:pStyle w:val="944"/>
        <w:jc w:val="both"/>
        <w:spacing w:line="276" w:lineRule="auto"/>
        <w:widowControl/>
        <w:rPr>
          <w:i/>
        </w:rPr>
      </w:pPr>
      <w:r>
        <w:rPr>
          <w:i/>
        </w:rPr>
        <w:t xml:space="preserve">Сведения, указанные в п.п. а),б),в),г),д),е),ж) направляются Исполнителю в виде «Ведомости об объёмах электрической энергии, переданной гражданам-потребителям», по форме приложения 5 к настоящему Регламенту - до 4 числа месяца, следующего за расчётным.</w:t>
      </w:r>
      <w:r>
        <w:rPr>
          <w:i/>
        </w:rPr>
      </w:r>
      <w:r>
        <w:rPr>
          <w:i/>
        </w:rPr>
      </w:r>
    </w:p>
    <w:p>
      <w:pPr>
        <w:pStyle w:val="944"/>
        <w:ind w:left="786"/>
        <w:jc w:val="both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 «Ведомости об объёмах электрической энергии, переданной гражданам - потребителям» формируются в строгом соответствии с точками поставки потребителей, указанными в Приложении №2 к Договору. 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«Ведомости об объёмах электрической энергии, переданной гражданам - потребителям», сформированные по точкам поставки потребителей, технологически присоединенных к электрическим сетям </w:t>
      </w:r>
      <w:r>
        <w:t xml:space="preserve">Покупателя</w:t>
      </w:r>
      <w:r>
        <w:t xml:space="preserve"> и ТСО должны:</w:t>
      </w:r>
      <w:r/>
    </w:p>
    <w:p>
      <w:pPr>
        <w:pStyle w:val="944"/>
        <w:jc w:val="both"/>
        <w:widowControl/>
      </w:pPr>
      <w:r>
        <w:t xml:space="preserve">-</w:t>
        <w:tab/>
        <w:t xml:space="preserve">отражать объемы электроэнергии, подтверждённые документами, указанными в </w:t>
      </w:r>
      <w:r>
        <w:rPr>
          <w:color w:val="0000ff"/>
        </w:rPr>
        <w:t xml:space="preserve">п. 2.1.</w:t>
      </w:r>
      <w:r>
        <w:t xml:space="preserve"> настоящего Регламента;</w:t>
      </w:r>
      <w:r/>
    </w:p>
    <w:p>
      <w:pPr>
        <w:pStyle w:val="944"/>
        <w:jc w:val="both"/>
        <w:widowControl/>
      </w:pPr>
      <w:r>
        <w:t xml:space="preserve">-</w:t>
        <w:tab/>
        <w:t xml:space="preserve">содержать </w:t>
      </w:r>
      <w:r>
        <w:rPr>
          <w:lang w:val="en-US"/>
        </w:rPr>
        <w:t xml:space="preserve">ID</w:t>
      </w:r>
      <w:r>
        <w:t xml:space="preserve"> точек поставки идентичные </w:t>
      </w:r>
      <w:r>
        <w:rPr>
          <w:lang w:val="en-US"/>
        </w:rPr>
        <w:t xml:space="preserve">ID</w:t>
      </w:r>
      <w:r>
        <w:t xml:space="preserve"> точкам поставк</w:t>
      </w:r>
      <w:r>
        <w:t xml:space="preserve">и, указанным в приложении №2 к д</w:t>
      </w:r>
      <w:r>
        <w:t xml:space="preserve">оговору</w:t>
      </w:r>
      <w:r>
        <w:t xml:space="preserve"> оказания услуг по передаче электрической энергии заключенный </w:t>
      </w:r>
      <w:r>
        <w:t xml:space="preserve">Поставщиком с сетевой организацией</w:t>
      </w:r>
      <w:r>
        <w:t xml:space="preserve">;</w:t>
      </w:r>
      <w:r/>
    </w:p>
    <w:p>
      <w:pPr>
        <w:pStyle w:val="944"/>
        <w:jc w:val="both"/>
        <w:widowControl/>
      </w:pPr>
      <w:r>
        <w:t xml:space="preserve">-</w:t>
        <w:tab/>
        <w:t xml:space="preserve">содержать одинаковую форму и количество столбцов;</w:t>
      </w:r>
      <w:r/>
    </w:p>
    <w:p>
      <w:pPr>
        <w:pStyle w:val="944"/>
        <w:jc w:val="both"/>
        <w:widowControl/>
      </w:pPr>
      <w:r>
        <w:t xml:space="preserve">-</w:t>
        <w:tab/>
        <w:t xml:space="preserve">не содержать исправлений;</w:t>
      </w:r>
      <w:r/>
    </w:p>
    <w:p>
      <w:pPr>
        <w:pStyle w:val="944"/>
        <w:jc w:val="both"/>
        <w:widowControl/>
      </w:pPr>
      <w:r>
        <w:t xml:space="preserve">-</w:t>
        <w:tab/>
        <w:t xml:space="preserve">содержать ежемесячно все точки поставки вне зависимости от наличия расхода.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При выполнении персоналом территориальных подразделений </w:t>
      </w:r>
      <w:r>
        <w:t xml:space="preserve">Поставщика</w:t>
      </w:r>
      <w:r>
        <w:t xml:space="preserve"> требований, указанных в </w:t>
      </w:r>
      <w:r>
        <w:rPr>
          <w:color w:val="0000ff"/>
        </w:rPr>
        <w:t xml:space="preserve">п. 2.6.</w:t>
      </w:r>
      <w:r>
        <w:t xml:space="preserve"> настоящего Регламента, персонал территориальных подразделений </w:t>
      </w:r>
      <w:r>
        <w:t xml:space="preserve">Покупателя</w:t>
      </w:r>
      <w:r>
        <w:t xml:space="preserve"> в «Ведомости об объёмах электрической энергии, переданной граждана</w:t>
      </w:r>
      <w:r>
        <w:t xml:space="preserve">м-потребителям» в столбце «предъявлено к реализации Исполнителем» отражает объем по каждому объекту учета, а при наличии разногласий указывает подробную причину в отношении каждой точки поставки. Данная Ведомость передается в соответствующие подразделения </w:t>
      </w:r>
      <w:r>
        <w:t xml:space="preserve">Поставщика</w:t>
      </w:r>
      <w:r>
        <w:t xml:space="preserve">, до 6-го числа месяца, следующего за расчётным, в электронном виде. 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В случае согласования объёмов переданной электр</w:t>
      </w:r>
      <w:r>
        <w:t xml:space="preserve">ической энергии Сторонами без разногласий, «Ведомости об объёмах электрической энергии, переданной гражданам-потребителям», на бумажном носителе сброшюрованные и пронумерованные в 2-х экземплярах (по сетям ОАО «Облкоммунэнерго» в 3-х экземплярах) подписыва</w:t>
      </w:r>
      <w:r>
        <w:t xml:space="preserve">ются представителями Сторон, скрепляются печатями территориальных подразделений Сторон в срок не позднее 7 числа месяца следующего за расчётным. Оформление на бумажном носителе, брошюрование и нумерация листов осуществляется территориальным подразделением </w:t>
      </w:r>
      <w:r>
        <w:t xml:space="preserve">Покупателя</w:t>
      </w:r>
      <w:r>
        <w:t xml:space="preserve">.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В случае нарушения персоналом территориальных подразделений </w:t>
      </w:r>
      <w:r>
        <w:t xml:space="preserve">Поставщика</w:t>
      </w:r>
      <w:r>
        <w:t xml:space="preserve"> требований </w:t>
      </w:r>
      <w:r>
        <w:rPr>
          <w:color w:val="0000ff"/>
        </w:rPr>
        <w:t xml:space="preserve">п. 2.6.</w:t>
      </w:r>
      <w:r>
        <w:t xml:space="preserve"> настоящего Регламента, персонал территориальных подразделений </w:t>
      </w:r>
      <w:r>
        <w:t xml:space="preserve">Покупателя</w:t>
      </w:r>
      <w:r>
        <w:t xml:space="preserve"> формирует «</w:t>
      </w:r>
      <w:r>
        <w:rPr>
          <w:i/>
        </w:rPr>
        <w:t xml:space="preserve">Ведомости об объёмах электрической энергии, переданной гражданам-потребителям</w:t>
      </w:r>
      <w:r>
        <w:t xml:space="preserve">» на основании имеющихся данных и передаёт их электронном виде в сроки, указанные в </w:t>
      </w:r>
      <w:r>
        <w:rPr>
          <w:color w:val="0000ff"/>
        </w:rPr>
        <w:t xml:space="preserve">п. 2.9.</w:t>
      </w:r>
      <w:r>
        <w:t xml:space="preserve"> настоящего Регламента в территориальные подразделения </w:t>
      </w:r>
      <w:r>
        <w:t xml:space="preserve">Поставщика</w:t>
      </w:r>
      <w:r>
        <w:t xml:space="preserve">. Данные Ведомости предоставляются территориальным подразделением </w:t>
      </w:r>
      <w:r>
        <w:t xml:space="preserve">Покупателя</w:t>
      </w:r>
      <w:r>
        <w:t xml:space="preserve"> на бумажном носителе (сброшюрованные и пронумерованные) не позднее 7 числа, следующего за расчётным, для дальнейшего оформления без разногласий.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В случае невыполнения персоналом территориальных подразделений </w:t>
      </w:r>
      <w:r>
        <w:t xml:space="preserve">Покупателя</w:t>
      </w:r>
      <w:r>
        <w:t xml:space="preserve"> одного и более требований, указанных в пункте </w:t>
      </w:r>
      <w:r>
        <w:rPr>
          <w:color w:val="0000ff"/>
        </w:rPr>
        <w:t xml:space="preserve">2.5.</w:t>
      </w:r>
      <w:r>
        <w:t xml:space="preserve"> настоящего Регламента, «Ведомости об объёмах электрической энергии, переданной гражданам-потребителям» согласовываются в редакции, представленной территориальными подразделениями </w:t>
      </w:r>
      <w:r>
        <w:t xml:space="preserve">Поставщика</w:t>
      </w:r>
      <w:r>
        <w:t xml:space="preserve">, при условии отсутствия нарушений требований настоящего Порядка, последним.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В случ</w:t>
      </w:r>
      <w:r>
        <w:t xml:space="preserve">ае обоюдного нарушения персоналом территориальных подразделений Сторон требований настоящего Порядка, повлекшее возникновение разногласий, согласование объёмов переданной электрической энергии осуществляется в соответствии Раздела 4, настоящего Регламента.</w:t>
      </w:r>
      <w:r/>
    </w:p>
    <w:p>
      <w:pPr>
        <w:pStyle w:val="944"/>
        <w:numPr>
          <w:ilvl w:val="1"/>
          <w:numId w:val="16"/>
        </w:numPr>
        <w:ind w:left="0" w:firstLine="360"/>
        <w:jc w:val="both"/>
        <w:widowControl/>
        <w:tabs>
          <w:tab w:val="num" w:pos="720" w:leader="none"/>
          <w:tab w:val="clear" w:pos="1080" w:leader="none"/>
        </w:tabs>
      </w:pPr>
      <w:r>
        <w:t xml:space="preserve">В случае согласования «Ведомости об объёмах электрической энергии, переданной гражданам-потребителям» с разногласиями, их урегулирование осуществляется в соответствии с </w:t>
      </w:r>
      <w:r>
        <w:rPr>
          <w:i/>
        </w:rPr>
        <w:t xml:space="preserve">«</w:t>
      </w:r>
      <w:r>
        <w:rPr>
          <w:bCs/>
          <w:i/>
          <w:iCs/>
          <w:color w:val="000000"/>
          <w:spacing w:val="-6"/>
        </w:rPr>
        <w:t xml:space="preserve">Порядком оформления согласованных территориальными подразделениями Сторон объёмов переданной электроэнергии и урегулирования разногласий по объемам переданной электроэнергии»</w:t>
      </w:r>
      <w:r>
        <w:rPr>
          <w:bCs/>
          <w:i/>
          <w:iCs/>
          <w:color w:val="000000"/>
          <w:spacing w:val="-6"/>
        </w:rPr>
        <w:t xml:space="preserve">.</w:t>
      </w:r>
      <w:r/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  <w:t xml:space="preserve">3. Порядок формирования объёмов электрической энергии переданной </w:t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  <w:t xml:space="preserve">в точках поставки многоквартирным жилым домам.</w:t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Формирование объемов </w:t>
      </w:r>
      <w:r>
        <w:t xml:space="preserve">электрической энергии, переданной</w:t>
      </w:r>
      <w:r>
        <w:t xml:space="preserve"> по </w:t>
      </w:r>
      <w:r>
        <w:rPr>
          <w:bCs/>
          <w:iCs/>
          <w:color w:val="000000"/>
          <w:spacing w:val="-6"/>
        </w:rPr>
        <w:t xml:space="preserve">точкам поставки многоквартирным жилым домам (Далее – МКЖД)</w:t>
      </w:r>
      <w:r>
        <w:t xml:space="preserve"> производится персоналом </w:t>
      </w:r>
      <w:r>
        <w:t xml:space="preserve">Покупателя</w:t>
      </w:r>
      <w:r>
        <w:t xml:space="preserve">, на основании: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а). </w:t>
        <w:tab/>
        <w:t xml:space="preserve">Актов снятия показаний расчётных средств учета, допущенных в эксплуатацию, в порядке, установленном действующим законодательством, полученных от потребителей либо оформленных Исполнителем (в том числе в случае замены средств учёта);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б).</w:t>
        <w:tab/>
        <w:t xml:space="preserve">Актов снятия показаний контрольных средств учета электрической энергии в случаях, предусмотренных действующим законодательством;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в).</w:t>
        <w:tab/>
        <w:t xml:space="preserve">Данных об объёме переданной электроэнергии, полученных с использованием автоматизированных систем учёта, средств дистанционного снятия показаний и других технических средств;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г).</w:t>
        <w:tab/>
        <w:t xml:space="preserve">Актов о неучтённом потреблении электрической энергии, составленных в случаях, предусмотренных действующим законодательством;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д)</w:t>
        <w:tab/>
        <w:t xml:space="preserve">Расчётных способов, предусмотренных действующим законодательством;</w:t>
      </w:r>
      <w:r/>
    </w:p>
    <w:p>
      <w:pPr>
        <w:pStyle w:val="944"/>
        <w:ind w:firstLine="360"/>
        <w:jc w:val="both"/>
        <w:spacing w:after="200"/>
        <w:widowControl/>
      </w:pPr>
      <w:r>
        <w:t xml:space="preserve">е)</w:t>
        <w:tab/>
        <w:t xml:space="preserve">Донесений потребителей о показаниях приборов учёта электрической энергии.</w:t>
      </w:r>
      <w:r/>
    </w:p>
    <w:p>
      <w:pPr>
        <w:pStyle w:val="944"/>
        <w:numPr>
          <w:ilvl w:val="1"/>
          <w:numId w:val="18"/>
        </w:numPr>
        <w:jc w:val="both"/>
        <w:spacing w:after="200"/>
        <w:widowControl/>
      </w:pPr>
      <w:r>
        <w:t xml:space="preserve">Сроки предоставления персоналом </w:t>
      </w:r>
      <w:r>
        <w:t xml:space="preserve">Покупателя</w:t>
      </w:r>
      <w:r>
        <w:t xml:space="preserve"> персоналу </w:t>
      </w:r>
      <w:r>
        <w:t xml:space="preserve">Поставщика</w:t>
      </w:r>
      <w:r>
        <w:t xml:space="preserve"> документов и сведений</w:t>
      </w:r>
      <w:r>
        <w:t xml:space="preserve">,</w:t>
      </w:r>
      <w:r>
        <w:t xml:space="preserve"> указанных в </w:t>
      </w:r>
      <w:r>
        <w:rPr>
          <w:color w:val="0000ff"/>
        </w:rPr>
        <w:t xml:space="preserve">п. 3.1</w:t>
      </w:r>
      <w:r>
        <w:t xml:space="preserve"> настоящего регламента:</w:t>
      </w:r>
      <w:r/>
    </w:p>
    <w:p>
      <w:pPr>
        <w:pStyle w:val="944"/>
        <w:numPr>
          <w:ilvl w:val="2"/>
          <w:numId w:val="18"/>
        </w:numPr>
        <w:jc w:val="both"/>
        <w:widowControl/>
        <w:rPr>
          <w:i/>
        </w:rPr>
      </w:pPr>
      <w:r>
        <w:t xml:space="preserve">Акты контрольного снятия показаний расчётных средств учета электрической энергии, – </w:t>
      </w:r>
      <w:r>
        <w:rPr>
          <w:i/>
        </w:rPr>
        <w:t xml:space="preserve">в течении трёх рабочих дней после их составления, но не позднее 26-го  числа, текущего месяца;</w:t>
      </w:r>
      <w:r>
        <w:rPr>
          <w:i/>
        </w:rPr>
      </w:r>
      <w:r>
        <w:rPr>
          <w:i/>
        </w:rPr>
      </w:r>
    </w:p>
    <w:p>
      <w:pPr>
        <w:pStyle w:val="944"/>
        <w:numPr>
          <w:ilvl w:val="2"/>
          <w:numId w:val="18"/>
        </w:numPr>
        <w:jc w:val="both"/>
        <w:widowControl/>
      </w:pPr>
      <w:r>
        <w:t xml:space="preserve">Акты о неучтённом потреблении электрической энергии передаются </w:t>
      </w:r>
      <w:r>
        <w:rPr>
          <w:i/>
        </w:rPr>
        <w:t xml:space="preserve">в оригинале не позднее трёх рабочих дней </w:t>
      </w:r>
      <w:r>
        <w:t xml:space="preserve">с момента составления</w:t>
      </w:r>
      <w:r>
        <w:rPr>
          <w:i/>
        </w:rPr>
        <w:t xml:space="preserve">, но не позднее 26-го  числа, текущего месяца;</w:t>
      </w:r>
      <w:r/>
    </w:p>
    <w:p>
      <w:pPr>
        <w:pStyle w:val="944"/>
        <w:numPr>
          <w:ilvl w:val="2"/>
          <w:numId w:val="18"/>
        </w:numPr>
        <w:jc w:val="both"/>
        <w:widowControl/>
      </w:pPr>
      <w:r>
        <w:t xml:space="preserve">Акты замены средств учета (инструментальной проверки) – передаются в течении </w:t>
      </w:r>
      <w:r>
        <w:rPr>
          <w:i/>
        </w:rPr>
        <w:t xml:space="preserve">1 рабочего дня</w:t>
      </w:r>
      <w:r>
        <w:t xml:space="preserve"> с момента составления</w:t>
      </w:r>
      <w:r>
        <w:rPr>
          <w:i/>
        </w:rPr>
        <w:t xml:space="preserve">, не позднее 26-го числа, текущего месяца;</w:t>
      </w:r>
      <w:r>
        <w:t xml:space="preserve"> </w:t>
      </w:r>
      <w:r/>
    </w:p>
    <w:p>
      <w:pPr>
        <w:pStyle w:val="944"/>
        <w:numPr>
          <w:ilvl w:val="2"/>
          <w:numId w:val="18"/>
        </w:numPr>
        <w:jc w:val="both"/>
        <w:widowControl/>
      </w:pPr>
      <w:r>
        <w:t xml:space="preserve">Показания средств учёта полученных с использованием автоматизированных систем учёта, средств дистанционного снятия показаний и других технических средств</w:t>
      </w:r>
      <w:r>
        <w:rPr>
          <w:i/>
        </w:rPr>
        <w:t xml:space="preserve">, не позднее 26-го числа, текущего месяца, </w:t>
      </w:r>
      <w:r>
        <w:t xml:space="preserve">в электронном виде, по форме «</w:t>
      </w:r>
      <w:r>
        <w:rPr>
          <w:bCs/>
        </w:rPr>
        <w:t xml:space="preserve">Реестра снятия показаний приборов учёта</w:t>
      </w:r>
      <w:r>
        <w:t xml:space="preserve"> </w:t>
      </w:r>
      <w:r>
        <w:rPr>
          <w:bCs/>
          <w:i/>
        </w:rPr>
        <w:t xml:space="preserve">(потребители кроме граждан)</w:t>
      </w:r>
      <w:r>
        <w:t xml:space="preserve">», Форма – Приложение 1 к настоящему Регламенту;</w:t>
      </w:r>
      <w:r/>
    </w:p>
    <w:p>
      <w:pPr>
        <w:pStyle w:val="944"/>
        <w:numPr>
          <w:ilvl w:val="1"/>
          <w:numId w:val="18"/>
        </w:numPr>
        <w:ind w:left="0" w:firstLine="0"/>
        <w:jc w:val="both"/>
        <w:spacing w:after="200"/>
        <w:widowControl/>
      </w:pPr>
      <w:r>
        <w:t xml:space="preserve">Сроки предоставления персоналом </w:t>
      </w:r>
      <w:r>
        <w:t xml:space="preserve">Поставщика</w:t>
      </w:r>
      <w:r>
        <w:t xml:space="preserve"> персоналу </w:t>
      </w:r>
      <w:r>
        <w:t xml:space="preserve">Покупателя</w:t>
      </w:r>
      <w:r>
        <w:t xml:space="preserve"> документов и сведений:</w:t>
      </w:r>
      <w:r/>
    </w:p>
    <w:p>
      <w:pPr>
        <w:pStyle w:val="944"/>
        <w:numPr>
          <w:ilvl w:val="2"/>
          <w:numId w:val="18"/>
        </w:numPr>
        <w:jc w:val="both"/>
        <w:widowControl/>
      </w:pPr>
      <w:r>
        <w:t xml:space="preserve">Сведения, полученные от представителя МКЖД, о показаниях расчётных (контрольных) приборов учёта, предоставляются в электронном виде до окончания 2-го числа месяца, следующего за расчётным, по форме «Реестра снятия показаний приборов учёта </w:t>
      </w:r>
      <w:r>
        <w:rPr>
          <w:i/>
        </w:rPr>
        <w:t xml:space="preserve">(потребители кроме граждан)</w:t>
      </w:r>
      <w:r>
        <w:t xml:space="preserve">», Форма – Приложение 1 к настоящему Регламенту;</w:t>
      </w:r>
      <w:r/>
    </w:p>
    <w:p>
      <w:pPr>
        <w:pStyle w:val="944"/>
        <w:numPr>
          <w:ilvl w:val="2"/>
          <w:numId w:val="18"/>
        </w:numPr>
        <w:jc w:val="both"/>
        <w:widowControl/>
      </w:pPr>
      <w:r>
        <w:t xml:space="preserve">Акты снятия показаний расчётных средств учета электрической энергии, полученные от представителей МКЖД, – </w:t>
      </w:r>
      <w:r>
        <w:rPr>
          <w:i/>
        </w:rPr>
        <w:t xml:space="preserve">не позднее 5-го рабочего дня месяца следующего за расчётным;</w:t>
      </w:r>
      <w:r/>
    </w:p>
    <w:p>
      <w:pPr>
        <w:pStyle w:val="944"/>
        <w:numPr>
          <w:ilvl w:val="2"/>
          <w:numId w:val="18"/>
        </w:numPr>
        <w:jc w:val="both"/>
        <w:widowControl/>
      </w:pPr>
      <w:r>
        <w:t xml:space="preserve">Информацию об объёме потребления электрической энергии в МКЖД не оборудованных коллективными (общедомовыми) приборами учёта, в электронном виде </w:t>
      </w:r>
      <w:r>
        <w:rPr>
          <w:i/>
        </w:rPr>
        <w:t xml:space="preserve">до 5-го числа месяца следующего за расчётным, в виде </w:t>
      </w:r>
      <w:r>
        <w:t xml:space="preserve">«</w:t>
      </w:r>
      <w:r>
        <w:rPr>
          <w:bCs/>
        </w:rPr>
        <w:t xml:space="preserve">Ведомости об объёмах электрической энергии, переданной по точкам поставки МКЖД</w:t>
      </w:r>
      <w:r>
        <w:t xml:space="preserve">», форма – Приложение 6 к настоящему Регламенту.</w:t>
      </w:r>
      <w:r/>
    </w:p>
    <w:p>
      <w:pPr>
        <w:pStyle w:val="944"/>
        <w:numPr>
          <w:ilvl w:val="1"/>
          <w:numId w:val="18"/>
        </w:numPr>
        <w:ind w:left="0" w:firstLine="0"/>
        <w:jc w:val="both"/>
        <w:spacing w:after="200"/>
        <w:widowControl/>
      </w:pPr>
      <w:r>
        <w:t xml:space="preserve">«Ведомость об объёмах электрической энергии, переданной по точкам поставки МКЖД» формируется персоналом территориальных подразделений </w:t>
      </w:r>
      <w:r>
        <w:t xml:space="preserve">Поставщика</w:t>
      </w:r>
      <w:r>
        <w:t xml:space="preserve"> в строгом соответствии с точками поставки МКЖД, указанными в Приложении №</w:t>
      </w:r>
      <w:r>
        <w:t xml:space="preserve">4</w:t>
      </w:r>
      <w:r>
        <w:t xml:space="preserve"> к Договору и технологически присоединенными к электрическим сетям </w:t>
      </w:r>
      <w:r>
        <w:t xml:space="preserve">Покупателя</w:t>
      </w:r>
      <w:r>
        <w:t xml:space="preserve"> и ТСО Форма – Приложение к настоящему Регламенту.</w:t>
      </w:r>
      <w:r/>
    </w:p>
    <w:p>
      <w:pPr>
        <w:pStyle w:val="944"/>
        <w:numPr>
          <w:ilvl w:val="1"/>
          <w:numId w:val="18"/>
        </w:numPr>
        <w:ind w:left="0" w:firstLine="0"/>
        <w:jc w:val="both"/>
        <w:spacing w:after="200"/>
        <w:widowControl/>
      </w:pPr>
      <w:r>
        <w:t xml:space="preserve">«Ведомости об объёмах электрической энергии, переданной по точкам поставки МКЖД», сформированные по точкам поставки МКЖД, технологически присоединенных к электрическим сетям </w:t>
      </w:r>
      <w:r>
        <w:t xml:space="preserve">Покупателя</w:t>
      </w:r>
      <w:r>
        <w:t xml:space="preserve"> и ТСО должны:</w:t>
      </w:r>
      <w:r/>
    </w:p>
    <w:p>
      <w:pPr>
        <w:pStyle w:val="944"/>
        <w:jc w:val="both"/>
        <w:widowControl/>
      </w:pPr>
      <w:r>
        <w:t xml:space="preserve">-</w:t>
        <w:tab/>
        <w:t xml:space="preserve">отражать объемы электроэнергии, сформированные по основаниям указанным в </w:t>
      </w:r>
      <w:r>
        <w:rPr>
          <w:color w:val="0000ff"/>
        </w:rPr>
        <w:t xml:space="preserve">п.3.1. </w:t>
      </w:r>
      <w:r>
        <w:t xml:space="preserve">настоящего Регламента;</w:t>
      </w:r>
      <w:r/>
    </w:p>
    <w:p>
      <w:pPr>
        <w:pStyle w:val="944"/>
        <w:jc w:val="both"/>
        <w:widowControl/>
      </w:pPr>
      <w:r>
        <w:t xml:space="preserve">-</w:t>
        <w:tab/>
        <w:t xml:space="preserve">содержать </w:t>
      </w:r>
      <w:r>
        <w:rPr>
          <w:lang w:val="en-US"/>
        </w:rPr>
        <w:t xml:space="preserve">ID</w:t>
      </w:r>
      <w:r>
        <w:t xml:space="preserve"> точек поставки идентичные </w:t>
      </w:r>
      <w:r>
        <w:rPr>
          <w:lang w:val="en-US"/>
        </w:rPr>
        <w:t xml:space="preserve">ID</w:t>
      </w:r>
      <w:r>
        <w:t xml:space="preserve"> точкам поставк</w:t>
      </w:r>
      <w:r>
        <w:t xml:space="preserve">и, указанным в приложении №2 к д</w:t>
      </w:r>
      <w:r>
        <w:t xml:space="preserve">оговору</w:t>
      </w:r>
      <w:r>
        <w:t xml:space="preserve"> оказания услуг по передаче электрической энергии, заключенный Поставщиком с сетевой организацией</w:t>
      </w:r>
      <w:r>
        <w:t xml:space="preserve">;</w:t>
      </w:r>
      <w:r/>
    </w:p>
    <w:p>
      <w:pPr>
        <w:pStyle w:val="944"/>
        <w:jc w:val="both"/>
        <w:widowControl/>
      </w:pPr>
      <w:r>
        <w:t xml:space="preserve">-</w:t>
        <w:tab/>
        <w:t xml:space="preserve">соответствовать форме являющейся приложением к настоящему Регламенту;</w:t>
      </w:r>
      <w:r/>
    </w:p>
    <w:p>
      <w:pPr>
        <w:pStyle w:val="944"/>
        <w:jc w:val="both"/>
        <w:widowControl/>
      </w:pPr>
      <w:r>
        <w:t xml:space="preserve">-</w:t>
        <w:tab/>
        <w:t xml:space="preserve">не содержать исправлений;</w:t>
      </w:r>
      <w:r/>
    </w:p>
    <w:p>
      <w:pPr>
        <w:pStyle w:val="944"/>
        <w:jc w:val="both"/>
        <w:widowControl/>
      </w:pPr>
      <w:r>
        <w:t xml:space="preserve">-</w:t>
        <w:tab/>
        <w:t xml:space="preserve">содержать ежемесячно все точки поставки вне зависимости от наличия расхода, с детализацией объёмов электрической энергии по гражданам, проживающим в МКЖД (при наличии сведений).</w:t>
      </w:r>
      <w:r/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При формировании объёмов переданной электроэнергии по МКЖД, оборудованным допущенными в эксплуатацию средствами учёта электрической энергии используются данные и документы в порядке убывания приоритета:</w:t>
      </w:r>
      <w:r/>
    </w:p>
    <w:p>
      <w:pPr>
        <w:pStyle w:val="944"/>
        <w:jc w:val="both"/>
        <w:widowControl/>
      </w:pPr>
      <w:r>
        <w:t xml:space="preserve">а)</w:t>
        <w:tab/>
        <w:t xml:space="preserve">Сведения, указанные в Актах о неучтённом потреблении электрической энергии, оформленных в соответствии с требованиями действующего законодательства и Приложения № 7 к настоящему Договору;</w:t>
      </w:r>
      <w:r/>
    </w:p>
    <w:p>
      <w:pPr>
        <w:pStyle w:val="944"/>
        <w:jc w:val="both"/>
        <w:widowControl/>
      </w:pPr>
      <w:r>
        <w:t xml:space="preserve">б)</w:t>
        <w:tab/>
        <w:t xml:space="preserve">Акт снятия по</w:t>
      </w:r>
      <w:r>
        <w:t xml:space="preserve">казаний приборов учёта, подписанный представителем управляющей организации МКЖД, лицом уполномоченным общим собранием собственников помещений в МКЖД на представление их интересов, при непосредственном способе управления МКЖД  (Далее - представитель МКЖД) ,</w:t>
      </w:r>
      <w:r/>
    </w:p>
    <w:p>
      <w:pPr>
        <w:pStyle w:val="944"/>
        <w:jc w:val="both"/>
        <w:widowControl/>
      </w:pPr>
      <w:r>
        <w:t xml:space="preserve">в)</w:t>
        <w:tab/>
        <w:t xml:space="preserve">Донесения о показаниях прибора учёта полученные Заказчиком от представителя МКЖД по электронной почте, телефону или иным способом указанным в договоре энергоснабжения;</w:t>
      </w:r>
      <w:r/>
    </w:p>
    <w:p>
      <w:pPr>
        <w:pStyle w:val="944"/>
        <w:jc w:val="both"/>
        <w:widowControl/>
      </w:pPr>
      <w:r>
        <w:t xml:space="preserve">г)</w:t>
        <w:tab/>
        <w:t xml:space="preserve">Акт контрольного снятия показаний приборов учёта;</w:t>
      </w:r>
      <w:r/>
    </w:p>
    <w:p>
      <w:pPr>
        <w:pStyle w:val="944"/>
        <w:jc w:val="both"/>
        <w:widowControl/>
      </w:pPr>
      <w:r>
        <w:t xml:space="preserve">д)</w:t>
        <w:tab/>
        <w:t xml:space="preserve">Сведения о показаниях средств учёта электрической энергии предоставленные Исполнителем, самостоятельно или с привлечением третьих лиц.</w:t>
      </w:r>
      <w:r/>
    </w:p>
    <w:p>
      <w:pPr>
        <w:pStyle w:val="944"/>
        <w:jc w:val="both"/>
        <w:widowControl/>
      </w:pPr>
      <w:r>
        <w:t xml:space="preserve">-</w:t>
        <w:tab/>
        <w:t xml:space="preserve">Сведения об </w:t>
      </w:r>
      <w:r>
        <w:t xml:space="preserve">объёме электрической энергии, определённые расчётным способом, в соответствии с требованиями действующего законодательства, по МКЖД оборудованным приборами учёта, допущенными в эксплуатацию, по которым сведения о показаниях приборов учёта не предоставлены.</w:t>
      </w:r>
      <w:r/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При формировании объёма переданной электрической энергии за начальные показания средств учета принимаются последние показания средств расчетного учета, по которым был сформирован объём </w:t>
      </w:r>
      <w:r>
        <w:t xml:space="preserve">электрической энергии, переданной</w:t>
      </w:r>
      <w:r>
        <w:t xml:space="preserve"> в предыдущих расчётных периодах, а именно конечные показания приборов учёта, зафиксированные в согласованной «Ведомости об объёмах электрической энергии, переданной по точкам поставки МКЖД» предыдущего расчетного периода.</w:t>
      </w:r>
      <w:r/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Обмен документами и сведениями, указанными в </w:t>
      </w:r>
      <w:r>
        <w:rPr>
          <w:color w:val="0000ff"/>
        </w:rPr>
        <w:t xml:space="preserve">п. 3.1.</w:t>
      </w:r>
      <w:r>
        <w:t xml:space="preserve"> настоящего Регламента, осуществляется на уровне территориальных подразделений, с сопроводительным письмом. К сопроводительному письму прилагается реестр передаваемых документов и сведений с указанием наименовани</w:t>
      </w:r>
      <w:r>
        <w:t xml:space="preserve">я: документа, потребителя и объекта, а также объёма электрической энергии по каждому объекту, указанного в прилагаемом документе. Факт передачи документов и сведений в электронном виде, письменно подтверждается отметкой (подпись, дата и время получения фай</w:t>
      </w:r>
      <w:r>
        <w:t xml:space="preserve">ла в электронном виде) представителя стороны, принимающей сведения и копии документов, на письме в котором указанно наименование файла, адрес электронной почты на который данный файл отправлен, дата и время отправки, итоговая сумма в натуральном выражении.</w:t>
      </w:r>
      <w:r/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«Ведомости об объёмах электрической энергии, переданной по точкам поставки МКЖД» передаются для предварительного согласования в территориальные подразделения </w:t>
      </w:r>
      <w:r>
        <w:t xml:space="preserve">Покупателя</w:t>
      </w:r>
      <w:r>
        <w:t xml:space="preserve"> в электронном виде, в </w:t>
      </w:r>
      <w:r>
        <w:rPr>
          <w:i/>
        </w:rPr>
        <w:t xml:space="preserve">срок не позднее 5-го числа месяца, следующего за расчётным. </w:t>
      </w:r>
      <w:r>
        <w:t xml:space="preserve">Факт получения ведомости в электронном виде, письменно подтверждается отметкой (подпись, дата принятия письма и дата и время получения файла в электронном виде) представителя </w:t>
      </w:r>
      <w:r>
        <w:t xml:space="preserve">Покупателя</w:t>
      </w:r>
      <w:r>
        <w:t xml:space="preserve"> на сопроводительном письме территориального подразделения </w:t>
      </w:r>
      <w:r>
        <w:t xml:space="preserve">Поставщика</w:t>
      </w:r>
      <w:r>
        <w:t xml:space="preserve">, в котором указано наименование файла, адрес электронной почты на который данный файл отправлен, дата и время отправки, итоговая сумма в натуральном выражении с детализацией объёмов электрической энергии по уровням напряжения и тарифным группам.</w:t>
      </w:r>
      <w:r/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При выполнении персоналом территориальных подразделений </w:t>
      </w:r>
      <w:r>
        <w:t xml:space="preserve">Поставщика</w:t>
      </w:r>
      <w:r>
        <w:t xml:space="preserve"> требований, указанных в </w:t>
      </w:r>
      <w:r>
        <w:rPr>
          <w:color w:val="0000ff"/>
        </w:rPr>
        <w:t xml:space="preserve">п. 3.9.</w:t>
      </w:r>
      <w:r>
        <w:t xml:space="preserve"> настоящего Регламента, персонал территориальных подразделений </w:t>
      </w:r>
      <w:r>
        <w:t xml:space="preserve">Покупателя</w:t>
      </w:r>
      <w:r>
        <w:t xml:space="preserve"> в соответствующем столбце «Ведомости об объёмах электрической энергии, переданной по точкам поставки МКЖД» «предъявлено к реализации Исполнителем» отражает согласованный о</w:t>
      </w:r>
      <w:r>
        <w:t xml:space="preserve">бъем по каждой точке поставки, а при наличии разногласий указывает причину в отношении каждой точки. Оформленная «Ведомость об объёмах электрической энергии, переданной по точкам поставки МКЖД» передаётся в электронном виде в соответствующие подразделения </w:t>
      </w:r>
      <w:r>
        <w:t xml:space="preserve">Поставщика</w:t>
      </w:r>
      <w:r>
        <w:t xml:space="preserve">, до 17-00 часов 7-го числа месяца, следующего за расчётным. При нарушении персоналом </w:t>
      </w:r>
      <w:r>
        <w:t xml:space="preserve">Поставщика</w:t>
      </w:r>
      <w:r>
        <w:t xml:space="preserve"> сроков, указанных в </w:t>
      </w:r>
      <w:r>
        <w:rPr>
          <w:color w:val="0000ff"/>
        </w:rPr>
        <w:t xml:space="preserve">п. 3.9.</w:t>
      </w:r>
      <w:r>
        <w:t xml:space="preserve"> настоящего Регламента, «Ведомости об объёмах электрической энергии, переданной по точкам поставки МКЖД» формируется по данным территориального подразделения </w:t>
      </w:r>
      <w:r>
        <w:t xml:space="preserve">Покупателя</w:t>
      </w:r>
      <w:r>
        <w:t xml:space="preserve"> и передаётся для дальнейшего оформления без разногласий в территориальные подразделения </w:t>
      </w:r>
      <w:r>
        <w:t xml:space="preserve">Поставщика</w:t>
      </w:r>
      <w:r>
        <w:t xml:space="preserve"> в сроки, указанные в настоящем пункте. Факт передачи ведомости в электронном виде, письменно подтверждается отметкой (подпись, дата принятия письма и дата и время получения файла в электронном виде) представителя </w:t>
      </w:r>
      <w:r>
        <w:t xml:space="preserve">Поставщика</w:t>
      </w:r>
      <w:r>
        <w:t xml:space="preserve"> на сопроводительном письме территориального подразделения </w:t>
      </w:r>
      <w:r>
        <w:t xml:space="preserve">Покупателя</w:t>
      </w:r>
      <w:r>
        <w:t xml:space="preserve">, в </w:t>
      </w:r>
      <w:r>
        <w:t xml:space="preserve">котором указано наименование файла, адрес электронной почты на который данный файл отправлен, дата и время отправки, итоговая согласованная сумма в натуральном выражении с детализацией объёмов электрической энергии по уровням напряжения и тарифным группам.</w:t>
      </w:r>
      <w:r/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В случае невыполнения персоналом территориальных подразделений </w:t>
      </w:r>
      <w:r>
        <w:t xml:space="preserve">Покупателя</w:t>
      </w:r>
      <w:r>
        <w:t xml:space="preserve"> одного и более требований, указанных в п.3.2., п. 3.5. и п. 3.10. настоящего Регламента, «Ведомость об объёмах электрической энергии, переданной по точкам поставки МКЖД» согласовывается в редакции, представленной территориальными подразделениями </w:t>
      </w:r>
      <w:r>
        <w:t xml:space="preserve">Поставщика</w:t>
      </w:r>
      <w:r>
        <w:t xml:space="preserve">, при условии отсутствия нарушений требований порядка последним.</w:t>
      </w:r>
      <w:r/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В случае обоюдного нарушения персоналом территориальных подразделений Сторон требований настоящего раздела, что привело к возникновению разногласий, согласование объёмов переданной электрической энергии осуществляется в соответствии с </w:t>
      </w:r>
      <w:r>
        <w:rPr>
          <w:i/>
        </w:rPr>
        <w:t xml:space="preserve">«</w:t>
      </w:r>
      <w:r>
        <w:rPr>
          <w:bCs/>
          <w:i/>
          <w:iCs/>
          <w:color w:val="000000"/>
          <w:spacing w:val="-6"/>
        </w:rPr>
        <w:t xml:space="preserve">Порядком оформления согласованных территориальными подразделениями Сторон объёмов переданной электроэнергии и урегулирования разногласий по объемам переданной электроэнергии»</w:t>
      </w:r>
      <w:r>
        <w:t xml:space="preserve">.</w:t>
      </w:r>
      <w:r/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В случае согласования «Ведомости об объёмах электрической энергии, переданной по точкам поставки МКЖД» Сторонами без разногласий, «Ведомости об объёмах электрической энергии, переданной по точкам поставки МКЖД» на бумажном носителе сброшюрованная </w:t>
      </w:r>
      <w:r>
        <w:t xml:space="preserve">и пронумерованная в 2-х экземплярах (по сетям ОАО «Облкоммунэнерго» в 3-х экземплярах) подписывается представителями Сторон и скрепляется печатями территориальных подразделений Сторон в срок не позднее 17-00 часов 8-го числа месяца следующего за отчётным. </w:t>
      </w:r>
      <w:r>
        <w:rPr>
          <w:i/>
        </w:rPr>
        <w:t xml:space="preserve">Оформление на бумажном носителе, (печать прошивание, брошюровка и нумерация листов) осуществляется персоналом территориального подразделения </w:t>
      </w:r>
      <w:r>
        <w:rPr>
          <w:i/>
        </w:rPr>
        <w:t xml:space="preserve">Покупателя</w:t>
      </w:r>
      <w:r>
        <w:rPr>
          <w:i/>
        </w:rPr>
        <w:t xml:space="preserve"> на оргтехнике </w:t>
      </w:r>
      <w:r>
        <w:rPr>
          <w:i/>
        </w:rPr>
        <w:t xml:space="preserve">Поставщика</w:t>
      </w:r>
      <w:r>
        <w:rPr>
          <w:i/>
        </w:rPr>
        <w:t xml:space="preserve"> с использованием расходных материалов предоставленных по</w:t>
      </w:r>
      <w:r>
        <w:rPr>
          <w:i/>
        </w:rPr>
        <w:t xml:space="preserve">с</w:t>
      </w:r>
      <w:r>
        <w:rPr>
          <w:i/>
        </w:rPr>
        <w:t xml:space="preserve">ледним.</w:t>
      </w:r>
      <w:r/>
    </w:p>
    <w:p>
      <w:pPr>
        <w:pStyle w:val="944"/>
        <w:numPr>
          <w:ilvl w:val="1"/>
          <w:numId w:val="18"/>
        </w:numPr>
        <w:ind w:left="0" w:firstLine="360"/>
        <w:jc w:val="both"/>
        <w:widowControl/>
      </w:pPr>
      <w:r>
        <w:t xml:space="preserve">В случае согласования «Ведомости об объёмах электрической энергии, переданной по точкам поставки МКЖД» Сторонами с разногласиями, их урегулирование осуществляется, в соответствии с </w:t>
      </w:r>
      <w:r>
        <w:rPr>
          <w:i/>
        </w:rPr>
        <w:t xml:space="preserve">«</w:t>
      </w:r>
      <w:r>
        <w:rPr>
          <w:bCs/>
          <w:i/>
          <w:iCs/>
          <w:color w:val="000000"/>
          <w:spacing w:val="-6"/>
        </w:rPr>
        <w:t xml:space="preserve">Порядком оформления согласованных территориальными подразделениями Сторон объёмов переданной электроэнергии и урегулирования разногласий по объемам переданной электроэнергии»</w:t>
      </w:r>
      <w:r>
        <w:t xml:space="preserve">.</w:t>
      </w:r>
      <w:r/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  <w:t xml:space="preserve">4.</w:t>
      </w:r>
      <w:r>
        <w:rPr>
          <w:bCs/>
          <w:iCs/>
          <w:color w:val="000000"/>
          <w:spacing w:val="-6"/>
        </w:rPr>
        <w:t xml:space="preserve">Порядок оформления согласованных территориальными подразделениями Сторон объёмов переданной электроэнергии и урегулирования разногласий по объемам переданной электроэнергии.</w:t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Cs/>
          <w:iCs/>
          <w:color w:val="000000"/>
          <w:spacing w:val="-6"/>
        </w:rPr>
      </w:pP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  <w:r>
        <w:rPr>
          <w:bCs/>
          <w:iCs/>
          <w:color w:val="000000"/>
          <w:spacing w:val="-6"/>
        </w:rPr>
      </w:r>
    </w:p>
    <w:p>
      <w:pPr>
        <w:pStyle w:val="944"/>
        <w:numPr>
          <w:ilvl w:val="1"/>
          <w:numId w:val="17"/>
        </w:numPr>
        <w:ind w:left="0" w:firstLine="360"/>
        <w:jc w:val="both"/>
        <w:spacing w:line="276" w:lineRule="auto"/>
        <w:widowControl/>
        <w:tabs>
          <w:tab w:val="clear" w:pos="720" w:leader="none"/>
          <w:tab w:val="num" w:pos="1440" w:leader="none"/>
        </w:tabs>
      </w:pPr>
      <w:r>
        <w:t xml:space="preserve">На основании оформленных без разногласий «</w:t>
      </w:r>
      <w:r>
        <w:rPr>
          <w:bCs/>
        </w:rPr>
        <w:t xml:space="preserve">Ведомости об объёмах электрической энергии, переданной гражданам-потребителям</w:t>
      </w:r>
      <w:r>
        <w:t xml:space="preserve">», «</w:t>
      </w:r>
      <w:r>
        <w:rPr>
          <w:bCs/>
        </w:rPr>
        <w:t xml:space="preserve">Ведомости объёмов электроэнергии,</w:t>
      </w:r>
      <w:r>
        <w:rPr>
          <w:bCs/>
        </w:rPr>
        <w:t xml:space="preserve"> </w:t>
      </w:r>
      <w:r>
        <w:rPr>
          <w:bCs/>
        </w:rPr>
        <w:t xml:space="preserve">переданной потребителям (кроме потребителей-граждан и МКЖД)</w:t>
      </w:r>
      <w:r>
        <w:t xml:space="preserve">» и «</w:t>
      </w:r>
      <w:r>
        <w:rPr>
          <w:bCs/>
        </w:rPr>
        <w:t xml:space="preserve">Ведомости об объёмах электрической энергии, переданной по точкам поставки МКЖД</w:t>
      </w:r>
      <w:r>
        <w:t xml:space="preserve">» территориальные подразделения Сторон, формируют:</w:t>
      </w:r>
      <w:r/>
    </w:p>
    <w:p>
      <w:pPr>
        <w:pStyle w:val="944"/>
        <w:jc w:val="both"/>
        <w:spacing w:line="276" w:lineRule="auto"/>
        <w:widowControl/>
      </w:pPr>
      <w:r>
        <w:t xml:space="preserve">-</w:t>
        <w:tab/>
        <w:t xml:space="preserve">«Сводные ведомости объёма оказанных услуг по передаче электрической энергии» (12 форма) (форма – Приложение 7 к настоящему Регламенту), в том числе по каждой ТСО, которые оформляются на бумажном носителе, </w:t>
      </w:r>
      <w:r>
        <w:rPr>
          <w:i/>
        </w:rPr>
        <w:t xml:space="preserve">подписываются представителями </w:t>
      </w:r>
      <w:r>
        <w:rPr>
          <w:i/>
        </w:rPr>
        <w:t xml:space="preserve">Покупателя</w:t>
      </w:r>
      <w:r>
        <w:rPr>
          <w:i/>
        </w:rPr>
        <w:t xml:space="preserve"> и </w:t>
      </w:r>
      <w:r>
        <w:rPr>
          <w:i/>
        </w:rPr>
        <w:t xml:space="preserve">Поставщика</w:t>
      </w:r>
      <w:r>
        <w:t xml:space="preserve">, </w:t>
      </w:r>
      <w:r>
        <w:rPr>
          <w:i/>
        </w:rPr>
        <w:t xml:space="preserve">скрепляются печатью, не позднее 7 числа месяца следующего за расчётным</w:t>
      </w:r>
      <w:r>
        <w:t xml:space="preserve">. Форма – Приложение к настоящему порядку. </w:t>
      </w:r>
      <w:r/>
    </w:p>
    <w:p>
      <w:pPr>
        <w:pStyle w:val="944"/>
        <w:jc w:val="both"/>
        <w:spacing w:line="276" w:lineRule="auto"/>
        <w:widowControl/>
        <w:rPr>
          <w:i/>
        </w:rPr>
      </w:pPr>
      <w:r>
        <w:rPr>
          <w:i/>
        </w:rPr>
        <w:t xml:space="preserve">Оформление на бумажном носителе, брошюрование и нумерация листов осуществляется территориальным подразделением </w:t>
      </w:r>
      <w:r>
        <w:rPr>
          <w:i/>
        </w:rPr>
        <w:t xml:space="preserve">Покупателя</w:t>
      </w:r>
      <w:r>
        <w:rPr>
          <w:i/>
        </w:rPr>
        <w:t xml:space="preserve">.</w:t>
      </w:r>
      <w:r>
        <w:rPr>
          <w:i/>
        </w:rPr>
      </w:r>
      <w:r>
        <w:rPr>
          <w:i/>
        </w:rPr>
      </w:r>
    </w:p>
    <w:p>
      <w:pPr>
        <w:pStyle w:val="944"/>
        <w:jc w:val="both"/>
        <w:spacing w:line="276" w:lineRule="auto"/>
        <w:widowControl/>
      </w:pPr>
      <w:r>
        <w:t xml:space="preserve">-</w:t>
        <w:tab/>
        <w:t xml:space="preserve">12 форма, в которой указан объём </w:t>
      </w:r>
      <w:r>
        <w:t xml:space="preserve">переданной </w:t>
      </w:r>
      <w:r>
        <w:t xml:space="preserve">электрической энергии</w:t>
      </w:r>
      <w:r>
        <w:t xml:space="preserve">,</w:t>
      </w:r>
      <w:r>
        <w:t xml:space="preserve"> оформленная надлежащим образом, в сканированном виде до 17-00 7 числа месяца, следующего за расчётным, предоставляется территориальными подразделениями Сторон в соответствующие службы аппаратов управлений </w:t>
      </w:r>
      <w:r>
        <w:t xml:space="preserve">Покупателя</w:t>
      </w:r>
      <w:r>
        <w:t xml:space="preserve"> и </w:t>
      </w:r>
      <w:r>
        <w:t xml:space="preserve">Поставщика</w:t>
      </w:r>
      <w:r>
        <w:t xml:space="preserve">.</w:t>
      </w:r>
      <w:r/>
    </w:p>
    <w:p>
      <w:pPr>
        <w:pStyle w:val="944"/>
        <w:jc w:val="both"/>
        <w:spacing w:line="276" w:lineRule="auto"/>
        <w:widowControl/>
      </w:pPr>
      <w:r/>
      <w:r/>
    </w:p>
    <w:p>
      <w:pPr>
        <w:pStyle w:val="944"/>
        <w:numPr>
          <w:ilvl w:val="1"/>
          <w:numId w:val="17"/>
        </w:numPr>
        <w:ind w:left="0" w:firstLine="360"/>
        <w:jc w:val="both"/>
        <w:spacing w:line="276" w:lineRule="auto"/>
        <w:widowControl/>
        <w:tabs>
          <w:tab w:val="clear" w:pos="720" w:leader="none"/>
          <w:tab w:val="num" w:pos="1440" w:leader="none"/>
        </w:tabs>
      </w:pPr>
      <w:r>
        <w:t xml:space="preserve">В случае наличия разногласий между территориальными подразделениями Сторон (в объёмах переданной электроэнергии, по уровням напряжения, по тарифным группам), ежемесячно, не позднее 8 числа ме</w:t>
      </w:r>
      <w:r>
        <w:t xml:space="preserve">сяца, следующего за расчётным, представителями территориальных подразделений Сторон, при необходимости с участием заинтересованных представителей ТСО, проводится совместное совещание по урегулированию разногласий, заявленных территориальным подразделением </w:t>
      </w:r>
      <w:r>
        <w:t xml:space="preserve">Поставщика</w:t>
      </w:r>
      <w:r>
        <w:t xml:space="preserve"> или </w:t>
      </w:r>
      <w:r>
        <w:t xml:space="preserve">Покупателя</w:t>
      </w:r>
      <w:r>
        <w:t xml:space="preserve"> (согласительная комиссия 1-го уровня</w:t>
      </w:r>
      <w:r>
        <w:t xml:space="preserve">, с представителями Сторон и сетевой организации</w:t>
      </w:r>
      <w:r>
        <w:t xml:space="preserve">).</w:t>
      </w:r>
      <w:r/>
    </w:p>
    <w:p>
      <w:pPr>
        <w:pStyle w:val="944"/>
        <w:numPr>
          <w:ilvl w:val="2"/>
          <w:numId w:val="17"/>
        </w:numPr>
        <w:ind w:left="0" w:firstLine="360"/>
        <w:jc w:val="both"/>
        <w:spacing w:line="276" w:lineRule="auto"/>
        <w:widowControl/>
        <w:tabs>
          <w:tab w:val="clear" w:pos="720" w:leader="none"/>
          <w:tab w:val="num" w:pos="1440" w:leader="none"/>
        </w:tabs>
      </w:pPr>
      <w:r>
        <w:t xml:space="preserve">Согласительная комиссия 1-го уровня рассматривает следующие документы: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-</w:t>
        <w:tab/>
        <w:t xml:space="preserve">«Ведомость объёмов электроэнергии,</w:t>
      </w:r>
      <w:r>
        <w:t xml:space="preserve"> </w:t>
      </w:r>
      <w:r>
        <w:t xml:space="preserve">переданной  потребителям </w:t>
      </w:r>
      <w:r>
        <w:rPr>
          <w:i/>
        </w:rPr>
        <w:t xml:space="preserve">(кроме потребителей-граждан и МКЖД)</w:t>
      </w:r>
      <w:r>
        <w:t xml:space="preserve">» за отчетный период;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-</w:t>
        <w:tab/>
        <w:t xml:space="preserve">«Ведомость об объёмах электрической энергии, переданной гражданам-потребителям» за отчетный период;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-</w:t>
        <w:tab/>
        <w:t xml:space="preserve">«Ведомость об объёмах электрической энергии, переданной по точкам поставки МКЖД»;</w:t>
      </w:r>
      <w:r/>
    </w:p>
    <w:p>
      <w:pPr>
        <w:pStyle w:val="944"/>
        <w:jc w:val="both"/>
      </w:pPr>
      <w:r>
        <w:t xml:space="preserve">-</w:t>
        <w:tab/>
        <w:t xml:space="preserve">Документы, необходимые для подтверждения фактического объёма переданной электрической энергии;</w:t>
      </w:r>
      <w:r/>
    </w:p>
    <w:p>
      <w:pPr>
        <w:pStyle w:val="944"/>
        <w:jc w:val="both"/>
      </w:pPr>
      <w:r>
        <w:t xml:space="preserve">-</w:t>
        <w:tab/>
        <w:t xml:space="preserve">Протоколы документального и информационного обмена между территориальными подразделениями Сторон.</w:t>
      </w:r>
      <w:r/>
    </w:p>
    <w:p>
      <w:pPr>
        <w:pStyle w:val="944"/>
        <w:numPr>
          <w:ilvl w:val="2"/>
          <w:numId w:val="17"/>
        </w:numPr>
        <w:ind w:left="0" w:firstLine="360"/>
        <w:jc w:val="both"/>
        <w:spacing w:line="276" w:lineRule="auto"/>
        <w:widowControl/>
        <w:tabs>
          <w:tab w:val="clear" w:pos="720" w:leader="none"/>
          <w:tab w:val="num" w:pos="1440" w:leader="none"/>
        </w:tabs>
      </w:pPr>
      <w:r>
        <w:t xml:space="preserve">По итогам работы согласительной комиссии 1-го уровня составляется протокол, оформленный надлежащим образом (на бумажном носителе, по экземпляру для каждой заинтересованной Стороны, </w:t>
      </w:r>
      <w:r>
        <w:rPr>
          <w:i/>
        </w:rPr>
        <w:t xml:space="preserve">подписывается всеми участниками согласительной комиссии</w:t>
      </w:r>
      <w:r>
        <w:t xml:space="preserve">), в котором указываются: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-</w:t>
        <w:tab/>
        <w:t xml:space="preserve">согласованные объемы по всем уровням напряжения и тарифным группам потребителей;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-</w:t>
        <w:tab/>
        <w:t xml:space="preserve">объемы разногласий, оставшиеся не урегулированными (при их наличии), с указанием наименования потребителя, № договора энергоснабжения (лицевого счета), точки поставки, уровня напряжения, тарифной групп</w:t>
      </w:r>
      <w:r>
        <w:t xml:space="preserve">ы и причину не возможности их урегулирования на данном уровне либо изложение индивидуальной позиции каждой из Сторон, а в случае полного урегулирования разногласий в протокол вносится соответствующая запись: «Разногласия урегулированы Сторонами полностью»;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-</w:t>
        <w:tab/>
        <w:t xml:space="preserve">информация о соблюдении или нарушении территориальными подразделениями Сторон сроков информационного обмена документами, необходимыми для определен</w:t>
      </w:r>
      <w:r>
        <w:t xml:space="preserve">ия объёмов оказанных услуг, с детализацией взаимных претензий (в случае их наличия), а в случае отсутствия взаимных претензий в протокол вносится соответствующая запись: «Стороны взаимных претензий к информационному обмену первичными документами не имеют».</w:t>
      </w:r>
      <w:r/>
    </w:p>
    <w:p>
      <w:pPr>
        <w:pStyle w:val="944"/>
        <w:numPr>
          <w:ilvl w:val="2"/>
          <w:numId w:val="17"/>
        </w:numPr>
        <w:ind w:left="0" w:firstLine="360"/>
        <w:jc w:val="both"/>
        <w:spacing w:line="276" w:lineRule="auto"/>
        <w:widowControl/>
        <w:tabs>
          <w:tab w:val="clear" w:pos="720" w:leader="none"/>
          <w:tab w:val="num" w:pos="1440" w:leader="none"/>
        </w:tabs>
      </w:pPr>
      <w:r>
        <w:t xml:space="preserve">В соответствии с протоколами согласительной комиссии 1-го уровня, в срок не позднее 17-00 8-го числа месяца, следующего за отчетным, оформляются (на бумажном носителе, пронумеровываются, прошнуровываются, </w:t>
      </w:r>
      <w:r>
        <w:rPr>
          <w:i/>
        </w:rPr>
        <w:t xml:space="preserve">подписываются представителями Сторон и скрепляются печатью</w:t>
      </w:r>
      <w:r>
        <w:t xml:space="preserve">) следующие итоговые документы: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-</w:t>
        <w:tab/>
        <w:t xml:space="preserve">«</w:t>
      </w:r>
      <w:r>
        <w:rPr>
          <w:bCs/>
        </w:rPr>
        <w:t xml:space="preserve">Ведомость объёмов электроэнергии,</w:t>
      </w:r>
      <w:r>
        <w:rPr>
          <w:bCs/>
        </w:rPr>
        <w:t xml:space="preserve"> </w:t>
      </w:r>
      <w:r>
        <w:rPr>
          <w:bCs/>
        </w:rPr>
        <w:t xml:space="preserve">переданной  потребителям </w:t>
      </w:r>
      <w:r>
        <w:rPr>
          <w:bCs/>
          <w:i/>
        </w:rPr>
        <w:t xml:space="preserve">(кроме потребителей-граждан и МКЖД)</w:t>
      </w:r>
      <w:r>
        <w:t xml:space="preserve">» за отчетный период;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-</w:t>
        <w:tab/>
        <w:t xml:space="preserve">«</w:t>
      </w:r>
      <w:r>
        <w:rPr>
          <w:bCs/>
        </w:rPr>
        <w:t xml:space="preserve">Ведомость об объёмах электрической энергии, переданной гражданам-потребителям</w:t>
      </w:r>
      <w:r>
        <w:t xml:space="preserve">» за отчетный период;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-</w:t>
        <w:tab/>
        <w:t xml:space="preserve">«</w:t>
      </w:r>
      <w:r>
        <w:rPr>
          <w:bCs/>
        </w:rPr>
        <w:t xml:space="preserve">Ведомость об объёмах электрической энергии, переданной по точкам поставки МКЖД</w:t>
      </w:r>
      <w:r>
        <w:t xml:space="preserve">»,</w:t>
      </w:r>
      <w:r/>
    </w:p>
    <w:p>
      <w:pPr>
        <w:pStyle w:val="944"/>
        <w:jc w:val="both"/>
        <w:spacing w:line="276" w:lineRule="auto"/>
        <w:widowControl/>
        <w:tabs>
          <w:tab w:val="left" w:pos="720" w:leader="none"/>
        </w:tabs>
      </w:pPr>
      <w:r>
        <w:t xml:space="preserve">на основании Ведомостей, указанных в настоящем пункте, территориальные подразделения Сторон формируют «Сводную ведомость объёма оказанных услуг по передаче электрической энергии» (12-ф), которая оформляется на бумажном носителе, </w:t>
      </w:r>
      <w:r>
        <w:rPr>
          <w:i/>
        </w:rPr>
        <w:t xml:space="preserve">подписывается обеими сторонами</w:t>
      </w:r>
      <w:r>
        <w:t xml:space="preserve">, </w:t>
      </w:r>
      <w:r>
        <w:rPr>
          <w:i/>
        </w:rPr>
        <w:t xml:space="preserve">скрепляется печатью</w:t>
      </w:r>
      <w:r>
        <w:t xml:space="preserve">, и в сканированном виде до 8-00 9 числа месяца, следующего за расчётным, предоставляется в соответствующие службы аппаратов управлений </w:t>
      </w:r>
      <w:r>
        <w:t xml:space="preserve">Покупателя</w:t>
      </w:r>
      <w:r>
        <w:t xml:space="preserve"> и </w:t>
      </w:r>
      <w:r>
        <w:t xml:space="preserve">Поставщика</w:t>
      </w:r>
      <w:r>
        <w:t xml:space="preserve"> с приложением копии протокола согласительной комиссии 1-го уровня.</w:t>
      </w:r>
      <w:r/>
    </w:p>
    <w:p>
      <w:pPr>
        <w:pStyle w:val="944"/>
        <w:numPr>
          <w:ilvl w:val="1"/>
          <w:numId w:val="17"/>
        </w:numPr>
        <w:ind w:left="0" w:firstLine="360"/>
        <w:jc w:val="both"/>
        <w:spacing w:line="276" w:lineRule="auto"/>
        <w:widowControl/>
        <w:tabs>
          <w:tab w:val="clear" w:pos="720" w:leader="none"/>
          <w:tab w:val="num" w:pos="1440" w:leader="none"/>
        </w:tabs>
      </w:pPr>
      <w:r>
        <w:t xml:space="preserve">Представителями аппаратов управлений Сторон до 12-00 часов 9 числа месяца, следующего за расчётным, проводится совместное совещание (согласительная комиссия 2-го уровня</w:t>
      </w:r>
      <w:r>
        <w:t xml:space="preserve">, с представителями аппаратов управлений</w:t>
      </w:r>
      <w:r>
        <w:t xml:space="preserve">), на котором рассматривается возможность урегулирования разногласий, оставшихся не урегулированными согласительными комиссиями 1-го уровня. </w:t>
      </w:r>
      <w:r/>
    </w:p>
    <w:p>
      <w:pPr>
        <w:pStyle w:val="944"/>
        <w:numPr>
          <w:ilvl w:val="1"/>
          <w:numId w:val="17"/>
        </w:numPr>
        <w:ind w:left="0" w:firstLine="360"/>
        <w:jc w:val="both"/>
        <w:spacing w:line="276" w:lineRule="auto"/>
        <w:widowControl/>
        <w:tabs>
          <w:tab w:val="clear" w:pos="720" w:leader="none"/>
          <w:tab w:val="num" w:pos="1440" w:leader="none"/>
        </w:tabs>
      </w:pPr>
      <w:r>
        <w:t xml:space="preserve">Участниками согласительной комиссии 2-го уровня являются лица, полномочия которых подтверждены документами (доверенностью либо приказом по обществу).</w:t>
      </w:r>
      <w:r/>
    </w:p>
    <w:p>
      <w:pPr>
        <w:pStyle w:val="944"/>
        <w:numPr>
          <w:ilvl w:val="1"/>
          <w:numId w:val="17"/>
        </w:numPr>
        <w:ind w:left="0" w:firstLine="360"/>
        <w:jc w:val="both"/>
        <w:spacing w:line="276" w:lineRule="auto"/>
        <w:widowControl/>
        <w:tabs>
          <w:tab w:val="clear" w:pos="720" w:leader="none"/>
          <w:tab w:val="num" w:pos="1440" w:leader="none"/>
        </w:tabs>
      </w:pPr>
      <w:r>
        <w:t xml:space="preserve">В случае частичного или полного урегулирования разн</w:t>
      </w:r>
      <w:r>
        <w:t xml:space="preserve">огласий согласительной комиссией 2-го уровня, протокол, оформленный надлежащим образом в тот же день, направляется в территориальные подразделения Сторон для последующего внесения изменений в соответствующие документы, подтверждающие объем оказанных услуг.</w:t>
      </w:r>
      <w:r/>
    </w:p>
    <w:p>
      <w:pPr>
        <w:pStyle w:val="944"/>
        <w:numPr>
          <w:ilvl w:val="1"/>
          <w:numId w:val="17"/>
        </w:numPr>
        <w:ind w:left="0" w:firstLine="360"/>
        <w:jc w:val="both"/>
        <w:spacing w:line="276" w:lineRule="auto"/>
        <w:widowControl/>
        <w:tabs>
          <w:tab w:val="clear" w:pos="720" w:leader="none"/>
          <w:tab w:val="num" w:pos="1440" w:leader="none"/>
        </w:tabs>
      </w:pPr>
      <w:r>
        <w:t xml:space="preserve">Документы с внесенными изменениями территориальными подразделениями Сторон предоставляются в соответствующие службы аппаратов управлений Сторон не позднее 9-00 10 числа месяца, следующего за отчетным.</w:t>
      </w:r>
      <w:r/>
    </w:p>
    <w:p>
      <w:pPr>
        <w:pStyle w:val="944"/>
        <w:ind w:right="-363"/>
        <w:rPr>
          <w:bCs/>
          <w:i/>
          <w:iCs/>
          <w:color w:val="000000"/>
          <w:spacing w:val="-6"/>
        </w:rPr>
      </w:pPr>
      <w:r>
        <w:rPr>
          <w:bCs/>
          <w:i/>
          <w:iCs/>
          <w:color w:val="000000"/>
          <w:spacing w:val="-6"/>
        </w:rPr>
        <w:t xml:space="preserve">Приложение №1 – «Альбом типовых форм».</w:t>
      </w: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</w:p>
    <w:p>
      <w:pPr>
        <w:pStyle w:val="944"/>
        <w:ind w:right="-363"/>
        <w:rPr>
          <w:bCs/>
          <w:i/>
          <w:iCs/>
          <w:color w:val="000000"/>
          <w:spacing w:val="-6"/>
        </w:rPr>
      </w:pP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</w:p>
    <w:p>
      <w:pPr>
        <w:pStyle w:val="944"/>
        <w:ind w:left="1800" w:right="-365" w:hanging="234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 xml:space="preserve">Подписи Сторон:</w:t>
      </w:r>
      <w:r>
        <w:rPr>
          <w:b/>
          <w:bCs/>
          <w:iCs/>
          <w:color w:val="000000"/>
        </w:rPr>
      </w:r>
      <w:r>
        <w:rPr>
          <w:b/>
          <w:bCs/>
          <w:iCs/>
          <w:color w:val="000000"/>
        </w:rPr>
      </w:r>
    </w:p>
    <w:tbl>
      <w:tblPr>
        <w:tblW w:w="9781" w:type="dxa"/>
        <w:tblInd w:w="25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040"/>
        <w:gridCol w:w="474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0" w:type="dxa"/>
            <w:vAlign w:val="top"/>
            <w:textDirection w:val="lrTb"/>
            <w:noWrap w:val="false"/>
          </w:tcPr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Поставщик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: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Покупатель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: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0" w:type="dxa"/>
            <w:vAlign w:val="top"/>
            <w:textDirection w:val="lrTb"/>
            <w:noWrap w:val="false"/>
          </w:tcPr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____________________ 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/____________________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М.П.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_____________________ 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/_____________________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М.П.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</w:tc>
      </w:tr>
    </w:tbl>
    <w:p>
      <w:pPr>
        <w:pStyle w:val="944"/>
        <w:ind w:right="-363"/>
        <w:rPr>
          <w:bCs/>
          <w:i/>
          <w:iCs/>
          <w:color w:val="000000"/>
          <w:spacing w:val="-6"/>
        </w:rPr>
      </w:pP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</w:p>
    <w:p>
      <w:pPr>
        <w:pStyle w:val="944"/>
        <w:ind w:left="5041" w:right="-363"/>
        <w:pageBreakBefore/>
      </w:pPr>
      <w:r>
        <w:t xml:space="preserve">Приложение № 1 </w:t>
      </w:r>
      <w:r/>
    </w:p>
    <w:p>
      <w:pPr>
        <w:pStyle w:val="944"/>
        <w:ind w:left="5040" w:right="-363"/>
      </w:pPr>
      <w:r>
        <w:t xml:space="preserve">к Приложению № 5</w:t>
      </w:r>
      <w:r>
        <w:t xml:space="preserve"> </w:t>
      </w:r>
      <w:r/>
    </w:p>
    <w:p>
      <w:pPr>
        <w:pStyle w:val="944"/>
        <w:ind w:left="5040" w:right="-363"/>
      </w:pPr>
      <w:r>
        <w:t xml:space="preserve">к Договору </w:t>
      </w:r>
      <w:r>
        <w:t xml:space="preserve">поставк</w:t>
      </w:r>
      <w:r>
        <w:t xml:space="preserve">и</w:t>
      </w:r>
      <w:r>
        <w:t xml:space="preserve"> электрической энергии </w:t>
      </w:r>
      <w:r/>
    </w:p>
    <w:p>
      <w:pPr>
        <w:pStyle w:val="944"/>
        <w:ind w:left="5040" w:right="-363"/>
        <w:rPr>
          <w:bCs/>
          <w:i/>
          <w:iCs/>
          <w:color w:val="000000"/>
          <w:spacing w:val="-6"/>
        </w:rPr>
      </w:pPr>
      <w:r>
        <w:t xml:space="preserve">№5525 от 01.01.2014г.</w:t>
      </w: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</w:p>
    <w:p>
      <w:pPr>
        <w:pStyle w:val="944"/>
        <w:ind w:right="-363"/>
        <w:rPr>
          <w:bCs/>
          <w:i/>
          <w:iCs/>
          <w:color w:val="000000"/>
          <w:spacing w:val="-6"/>
        </w:rPr>
      </w:pP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</w:p>
    <w:p>
      <w:pPr>
        <w:pStyle w:val="944"/>
        <w:ind w:right="-363"/>
        <w:rPr>
          <w:bCs/>
          <w:i/>
          <w:iCs/>
          <w:color w:val="000000"/>
          <w:spacing w:val="-6"/>
        </w:rPr>
      </w:pP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</w:p>
    <w:p>
      <w:pPr>
        <w:pStyle w:val="944"/>
        <w:ind w:right="-363"/>
        <w:rPr>
          <w:bCs/>
          <w:i/>
          <w:iCs/>
          <w:color w:val="000000"/>
          <w:spacing w:val="-6"/>
        </w:rPr>
      </w:pP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</w:p>
    <w:p>
      <w:pPr>
        <w:pStyle w:val="944"/>
        <w:ind w:right="-363"/>
        <w:jc w:val="center"/>
        <w:rPr>
          <w:b/>
          <w:i/>
          <w:iCs/>
          <w:color w:val="000000"/>
          <w:spacing w:val="-6"/>
        </w:rPr>
      </w:pPr>
      <w:r>
        <w:rPr>
          <w:b/>
          <w:i/>
          <w:iCs/>
          <w:color w:val="000000"/>
          <w:spacing w:val="-6"/>
        </w:rPr>
        <w:t xml:space="preserve">Альбом типовых форм.</w:t>
      </w:r>
      <w:r>
        <w:rPr>
          <w:b/>
          <w:i/>
          <w:iCs/>
          <w:color w:val="000000"/>
          <w:spacing w:val="-6"/>
        </w:rPr>
      </w:r>
      <w:r>
        <w:rPr>
          <w:b/>
          <w:i/>
          <w:iCs/>
          <w:color w:val="000000"/>
          <w:spacing w:val="-6"/>
        </w:rPr>
      </w:r>
    </w:p>
    <w:p>
      <w:pPr>
        <w:pStyle w:val="944"/>
        <w:ind w:right="112"/>
        <w:jc w:val="center"/>
        <w:rPr>
          <w:i/>
          <w:iCs/>
          <w:color w:val="000000"/>
          <w:spacing w:val="-6"/>
        </w:rPr>
      </w:pP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ind w:right="112"/>
        <w:jc w:val="both"/>
        <w:tabs>
          <w:tab w:val="num" w:pos="540" w:leader="none"/>
        </w:tabs>
        <w:rPr>
          <w:i/>
          <w:iCs/>
          <w:color w:val="000000"/>
          <w:spacing w:val="-6"/>
        </w:rPr>
      </w:pP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numPr>
          <w:ilvl w:val="0"/>
          <w:numId w:val="19"/>
        </w:numPr>
        <w:ind w:left="0" w:right="112" w:firstLine="0"/>
        <w:jc w:val="both"/>
        <w:tabs>
          <w:tab w:val="num" w:pos="540" w:leader="none"/>
          <w:tab w:val="clear" w:pos="720" w:leader="none"/>
        </w:tabs>
        <w:rPr>
          <w:i/>
          <w:iCs/>
          <w:color w:val="000000"/>
          <w:spacing w:val="-6"/>
        </w:rPr>
      </w:pPr>
      <w:r>
        <w:t xml:space="preserve">Ведомость объёмов электроэнергии,</w:t>
      </w:r>
      <w:r>
        <w:t xml:space="preserve"> </w:t>
      </w:r>
      <w:r>
        <w:t xml:space="preserve">переданной  потребителям </w:t>
      </w:r>
      <w:r>
        <w:rPr>
          <w:i/>
        </w:rPr>
        <w:t xml:space="preserve">(кроме потребителей-граждан и МКЖД).</w:t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ind w:right="112"/>
        <w:jc w:val="both"/>
        <w:tabs>
          <w:tab w:val="num" w:pos="540" w:leader="none"/>
        </w:tabs>
        <w:rPr>
          <w:i/>
          <w:iCs/>
          <w:color w:val="000000"/>
          <w:spacing w:val="-6"/>
        </w:rPr>
      </w:pP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numPr>
          <w:ilvl w:val="0"/>
          <w:numId w:val="19"/>
        </w:numPr>
        <w:ind w:left="0" w:right="112" w:firstLine="0"/>
        <w:jc w:val="both"/>
        <w:tabs>
          <w:tab w:val="num" w:pos="540" w:leader="none"/>
          <w:tab w:val="clear" w:pos="720" w:leader="none"/>
        </w:tabs>
        <w:rPr>
          <w:i/>
          <w:iCs/>
          <w:color w:val="000000"/>
          <w:spacing w:val="-6"/>
        </w:rPr>
      </w:pPr>
      <w:r>
        <w:t xml:space="preserve">Реестр граждан-потребителей, рассчитывающихся по нормативу потребления.</w:t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ind w:right="112"/>
        <w:jc w:val="both"/>
        <w:tabs>
          <w:tab w:val="num" w:pos="540" w:leader="none"/>
        </w:tabs>
        <w:rPr>
          <w:i/>
          <w:iCs/>
          <w:color w:val="000000"/>
          <w:spacing w:val="-6"/>
        </w:rPr>
      </w:pP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numPr>
          <w:ilvl w:val="0"/>
          <w:numId w:val="19"/>
        </w:numPr>
        <w:ind w:left="0" w:right="112" w:firstLine="0"/>
        <w:jc w:val="both"/>
        <w:tabs>
          <w:tab w:val="num" w:pos="540" w:leader="none"/>
          <w:tab w:val="clear" w:pos="720" w:leader="none"/>
        </w:tabs>
        <w:rPr>
          <w:i/>
          <w:iCs/>
          <w:color w:val="000000"/>
          <w:spacing w:val="-6"/>
        </w:rPr>
      </w:pPr>
      <w:r>
        <w:t xml:space="preserve">Ведомость об объёмах электрической энергии, переданной гражданам-потребителям.</w:t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56"/>
        <w:ind w:right="112"/>
        <w:jc w:val="both"/>
        <w:rPr>
          <w:b w:val="0"/>
          <w:bCs w:val="0"/>
          <w:i/>
          <w:iCs/>
          <w:color w:val="000000"/>
          <w:spacing w:val="-6"/>
        </w:rPr>
      </w:pPr>
      <w:r>
        <w:rPr>
          <w:b w:val="0"/>
          <w:bCs w:val="0"/>
          <w:i/>
          <w:iCs/>
          <w:color w:val="000000"/>
          <w:spacing w:val="-6"/>
        </w:rPr>
      </w:r>
      <w:r>
        <w:rPr>
          <w:b w:val="0"/>
          <w:bCs w:val="0"/>
          <w:i/>
          <w:iCs/>
          <w:color w:val="000000"/>
          <w:spacing w:val="-6"/>
        </w:rPr>
      </w:r>
      <w:r>
        <w:rPr>
          <w:b w:val="0"/>
          <w:bCs w:val="0"/>
          <w:i/>
          <w:iCs/>
          <w:color w:val="000000"/>
          <w:spacing w:val="-6"/>
        </w:rPr>
      </w:r>
    </w:p>
    <w:p>
      <w:pPr>
        <w:pStyle w:val="944"/>
        <w:numPr>
          <w:ilvl w:val="0"/>
          <w:numId w:val="19"/>
        </w:numPr>
        <w:ind w:left="0" w:right="112" w:firstLine="0"/>
        <w:jc w:val="both"/>
        <w:tabs>
          <w:tab w:val="num" w:pos="540" w:leader="none"/>
          <w:tab w:val="clear" w:pos="720" w:leader="none"/>
        </w:tabs>
        <w:rPr>
          <w:i/>
          <w:iCs/>
          <w:color w:val="000000"/>
          <w:spacing w:val="-6"/>
        </w:rPr>
      </w:pPr>
      <w:r>
        <w:t xml:space="preserve">Ведомость об объёмах электрической энергии, переданной по точкам поставки МКЖД.</w:t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ind w:right="112"/>
        <w:jc w:val="both"/>
        <w:tabs>
          <w:tab w:val="num" w:pos="540" w:leader="none"/>
        </w:tabs>
        <w:rPr>
          <w:i/>
          <w:iCs/>
          <w:color w:val="000000"/>
          <w:spacing w:val="-6"/>
        </w:rPr>
      </w:pP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numPr>
          <w:ilvl w:val="0"/>
          <w:numId w:val="19"/>
        </w:numPr>
        <w:ind w:left="0" w:right="112" w:firstLine="0"/>
        <w:jc w:val="both"/>
        <w:tabs>
          <w:tab w:val="num" w:pos="540" w:leader="none"/>
          <w:tab w:val="clear" w:pos="720" w:leader="none"/>
        </w:tabs>
        <w:rPr>
          <w:i/>
          <w:iCs/>
          <w:color w:val="000000"/>
          <w:spacing w:val="-6"/>
        </w:rPr>
      </w:pPr>
      <w:r>
        <w:t xml:space="preserve">Сводная ведомость объёма оказанных услуг по передаче электрической энергии (12 форма).</w:t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56"/>
        <w:ind w:right="112"/>
        <w:jc w:val="both"/>
        <w:rPr>
          <w:b w:val="0"/>
          <w:bCs w:val="0"/>
          <w:i/>
          <w:iCs/>
          <w:color w:val="000000"/>
          <w:spacing w:val="-6"/>
        </w:rPr>
      </w:pPr>
      <w:r>
        <w:rPr>
          <w:b w:val="0"/>
          <w:bCs w:val="0"/>
          <w:i/>
          <w:iCs/>
          <w:color w:val="000000"/>
          <w:spacing w:val="-6"/>
        </w:rPr>
      </w:r>
      <w:r>
        <w:rPr>
          <w:b w:val="0"/>
          <w:bCs w:val="0"/>
          <w:i/>
          <w:iCs/>
          <w:color w:val="000000"/>
          <w:spacing w:val="-6"/>
        </w:rPr>
      </w:r>
      <w:r>
        <w:rPr>
          <w:b w:val="0"/>
          <w:bCs w:val="0"/>
          <w:i/>
          <w:iCs/>
          <w:color w:val="000000"/>
          <w:spacing w:val="-6"/>
        </w:rPr>
      </w:r>
    </w:p>
    <w:p>
      <w:pPr>
        <w:pStyle w:val="944"/>
        <w:ind w:right="112"/>
        <w:jc w:val="both"/>
        <w:tabs>
          <w:tab w:val="num" w:pos="540" w:leader="none"/>
        </w:tabs>
        <w:rPr>
          <w:i/>
          <w:iCs/>
          <w:color w:val="000000"/>
          <w:spacing w:val="-6"/>
        </w:rPr>
      </w:pP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ind w:right="112"/>
        <w:jc w:val="both"/>
        <w:tabs>
          <w:tab w:val="num" w:pos="540" w:leader="none"/>
        </w:tabs>
        <w:rPr>
          <w:i/>
          <w:iCs/>
          <w:color w:val="000000"/>
          <w:spacing w:val="-6"/>
        </w:rPr>
      </w:pP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  <w:r>
        <w:rPr>
          <w:i/>
          <w:iCs/>
          <w:color w:val="000000"/>
          <w:spacing w:val="-6"/>
        </w:rPr>
      </w:r>
    </w:p>
    <w:p>
      <w:pPr>
        <w:pStyle w:val="944"/>
        <w:ind w:right="-363"/>
        <w:jc w:val="both"/>
        <w:tabs>
          <w:tab w:val="num" w:pos="540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44"/>
        <w:tabs>
          <w:tab w:val="num" w:pos="540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44"/>
        <w:ind w:left="1800" w:right="-365" w:hanging="234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 xml:space="preserve">Подписи Сторон:</w:t>
      </w:r>
      <w:r>
        <w:rPr>
          <w:b/>
          <w:bCs/>
          <w:iCs/>
          <w:color w:val="000000"/>
        </w:rPr>
      </w:r>
      <w:r>
        <w:rPr>
          <w:b/>
          <w:bCs/>
          <w:iCs/>
          <w:color w:val="000000"/>
        </w:rPr>
      </w:r>
    </w:p>
    <w:p>
      <w:pPr>
        <w:pStyle w:val="944"/>
        <w:ind w:left="1800" w:right="-365" w:hanging="234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</w:r>
      <w:r>
        <w:rPr>
          <w:b/>
          <w:bCs/>
          <w:iCs/>
          <w:color w:val="000000"/>
        </w:rPr>
      </w:r>
      <w:r>
        <w:rPr>
          <w:b/>
          <w:bCs/>
          <w:iCs/>
          <w:color w:val="000000"/>
        </w:rPr>
      </w:r>
    </w:p>
    <w:tbl>
      <w:tblPr>
        <w:tblW w:w="10260" w:type="dxa"/>
        <w:tblInd w:w="25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040"/>
        <w:gridCol w:w="522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0" w:type="dxa"/>
            <w:vAlign w:val="top"/>
            <w:textDirection w:val="lrTb"/>
            <w:noWrap w:val="false"/>
          </w:tcPr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Поставщик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: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Покупатель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: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0" w:type="dxa"/>
            <w:vAlign w:val="top"/>
            <w:textDirection w:val="lrTb"/>
            <w:noWrap w:val="false"/>
          </w:tcPr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____________________ 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/___________________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М.П.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20" w:type="dxa"/>
            <w:vAlign w:val="top"/>
            <w:textDirection w:val="lrTb"/>
            <w:noWrap w:val="false"/>
          </w:tcPr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_____________________ 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/_____________________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  <w:p>
            <w:pPr>
              <w:pStyle w:val="944"/>
              <w:spacing w:line="317" w:lineRule="exact"/>
              <w:tabs>
                <w:tab w:val="left" w:pos="317" w:leader="none"/>
              </w:tabs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 xml:space="preserve">М.П.</w:t>
            </w:r>
            <w:r>
              <w:rPr>
                <w:b/>
                <w:bCs/>
                <w:iCs/>
                <w:color w:val="000000"/>
                <w:spacing w:val="-6"/>
              </w:rPr>
            </w:r>
            <w:r>
              <w:rPr>
                <w:b/>
                <w:bCs/>
                <w:iCs/>
                <w:color w:val="000000"/>
                <w:spacing w:val="-6"/>
              </w:rPr>
            </w:r>
          </w:p>
        </w:tc>
      </w:tr>
    </w:tbl>
    <w:p>
      <w:pPr>
        <w:pStyle w:val="944"/>
        <w:ind w:right="-363"/>
        <w:rPr>
          <w:bCs/>
          <w:i/>
          <w:iCs/>
          <w:color w:val="000000"/>
          <w:spacing w:val="-6"/>
        </w:rPr>
      </w:pP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  <w:r>
        <w:rPr>
          <w:bCs/>
          <w:i/>
          <w:iCs/>
          <w:color w:val="000000"/>
          <w:spacing w:val="-6"/>
        </w:rPr>
      </w:r>
    </w:p>
    <w:p>
      <w:pPr>
        <w:pStyle w:val="944"/>
      </w:pPr>
      <w:r/>
      <w:r/>
    </w:p>
    <w:p>
      <w:pPr>
        <w:pStyle w:val="944"/>
      </w:pPr>
      <w:r/>
      <w:r/>
    </w:p>
    <w:p>
      <w:pPr>
        <w:pStyle w:val="944"/>
      </w:pPr>
      <w:r/>
      <w:r/>
    </w:p>
    <w:p>
      <w:pPr>
        <w:pStyle w:val="944"/>
      </w:pPr>
      <w:r/>
      <w:r/>
    </w:p>
    <w:p>
      <w:pPr>
        <w:pStyle w:val="944"/>
      </w:pPr>
      <w:r/>
      <w:r/>
    </w:p>
    <w:p>
      <w:pPr>
        <w:pStyle w:val="944"/>
      </w:pPr>
      <w:r/>
      <w:r/>
    </w:p>
    <w:p>
      <w:pPr>
        <w:pStyle w:val="944"/>
      </w:pPr>
      <w:r/>
      <w:r/>
    </w:p>
    <w:p>
      <w:pPr>
        <w:pStyle w:val="944"/>
      </w:pPr>
      <w:r/>
      <w:r/>
    </w:p>
    <w:p>
      <w:pPr>
        <w:pStyle w:val="944"/>
      </w:pPr>
      <w:r/>
      <w:r/>
    </w:p>
    <w:p>
      <w:pPr>
        <w:pStyle w:val="944"/>
      </w:pPr>
      <w:r/>
      <w:r/>
    </w:p>
    <w:p>
      <w:pPr>
        <w:pStyle w:val="944"/>
      </w:pPr>
      <w:r/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426" w:right="567" w:bottom="249" w:left="102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9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9</w:t>
    </w:r>
    <w:r>
      <w:rPr>
        <w:b/>
        <w:bCs/>
        <w:sz w:val="24"/>
        <w:szCs w:val="24"/>
      </w:rPr>
      <w:fldChar w:fldCharType="end"/>
    </w:r>
    <w:r/>
  </w:p>
  <w:p>
    <w:pPr>
      <w:pStyle w:val="951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2"/>
      </w:rPr>
      <w:framePr w:wrap="around" w:vAnchor="text" w:hAnchor="margin" w:xAlign="right" w:y="1"/>
    </w:pPr>
    <w:r>
      <w:rPr>
        <w:rStyle w:val="952"/>
      </w:rPr>
      <w:fldChar w:fldCharType="begin"/>
    </w:r>
    <w:r>
      <w:rPr>
        <w:rStyle w:val="952"/>
      </w:rPr>
      <w:instrText xml:space="preserve">PAGE  </w:instrText>
    </w:r>
    <w:r>
      <w:rPr>
        <w:rStyle w:val="952"/>
      </w:rPr>
      <w:fldChar w:fldCharType="end"/>
    </w:r>
    <w:r>
      <w:rPr>
        <w:rStyle w:val="952"/>
      </w:rPr>
    </w:r>
    <w:r>
      <w:rPr>
        <w:rStyle w:val="952"/>
      </w:rPr>
    </w:r>
  </w:p>
  <w:p>
    <w:pPr>
      <w:pStyle w:val="951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9</w:t>
    </w:r>
    <w:r>
      <w:rPr>
        <w:b/>
        <w:bCs/>
        <w:sz w:val="24"/>
        <w:szCs w:val="24"/>
      </w:rPr>
      <w:fldChar w:fldCharType="end"/>
    </w:r>
    <w:r/>
  </w:p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29" w:hanging="5025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0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24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540" w:hanging="360"/>
        <w:tabs>
          <w:tab w:val="num" w:pos="5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  <w:tabs>
          <w:tab w:val="num" w:pos="1364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  <w:tabs>
          <w:tab w:val="num" w:pos="2084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  <w:tabs>
          <w:tab w:val="num" w:pos="2804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  <w:tabs>
          <w:tab w:val="num" w:pos="3524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  <w:tabs>
          <w:tab w:val="num" w:pos="4244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  <w:tabs>
          <w:tab w:val="num" w:pos="4964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  <w:tabs>
          <w:tab w:val="num" w:pos="5684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  <w:tabs>
          <w:tab w:val="num" w:pos="6404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29" w:hanging="5025"/>
      </w:pPr>
    </w:lvl>
    <w:lvl w:ilvl="1">
      <w:start w:val="1"/>
      <w:numFmt w:val="lowerLetter"/>
      <w:isLgl w:val="false"/>
      <w:suff w:val="tab"/>
      <w:lvlText w:val="%2."/>
      <w:lvlJc w:val="left"/>
      <w:pPr>
        <w:ind w:left="20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2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90" w:hanging="390"/>
        <w:tabs>
          <w:tab w:val="num" w:pos="39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4680" w:leader="none"/>
        </w:tabs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29" w:hanging="5025"/>
      </w:pPr>
    </w:lvl>
    <w:lvl w:ilvl="1">
      <w:start w:val="1"/>
      <w:numFmt w:val="lowerLetter"/>
      <w:isLgl w:val="false"/>
      <w:suff w:val="tab"/>
      <w:lvlText w:val="%2."/>
      <w:lvlJc w:val="left"/>
      <w:pPr>
        <w:ind w:left="20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24" w:hanging="180"/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90" w:hanging="390"/>
        <w:tabs>
          <w:tab w:val="num" w:pos="39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84" w:hanging="360"/>
        <w:tabs>
          <w:tab w:val="num" w:pos="88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04" w:hanging="360"/>
        <w:tabs>
          <w:tab w:val="num" w:pos="1604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24" w:hanging="180"/>
        <w:tabs>
          <w:tab w:val="num" w:pos="2324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44" w:hanging="360"/>
        <w:tabs>
          <w:tab w:val="num" w:pos="3044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64" w:hanging="360"/>
        <w:tabs>
          <w:tab w:val="num" w:pos="3764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484" w:hanging="180"/>
        <w:tabs>
          <w:tab w:val="num" w:pos="4484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04" w:hanging="360"/>
        <w:tabs>
          <w:tab w:val="num" w:pos="5204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24" w:hanging="360"/>
        <w:tabs>
          <w:tab w:val="num" w:pos="5924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44" w:hanging="180"/>
        <w:tabs>
          <w:tab w:val="num" w:pos="6644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709" w:leader="none"/>
        </w:tabs>
      </w:pPr>
      <w:rPr>
        <w:rFonts w:ascii="Times New Roman" w:hAnsi="Times New Roman" w:eastAsia="Times New Roman" w:cs="Times New Roman"/>
        <w:color w:val="000000"/>
      </w:rPr>
    </w:lvl>
    <w:lvl w:ilvl="1">
      <w:start w:val="3"/>
      <w:numFmt w:val="decimal"/>
      <w:isLgl w:val="false"/>
      <w:suff w:val="tab"/>
      <w:lvlText w:val="%1.%2"/>
      <w:lvlJc w:val="left"/>
      <w:pPr>
        <w:ind w:left="754" w:hanging="405"/>
      </w:pPr>
      <w:rPr>
        <w:rFonts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69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69" w:hanging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29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29" w:hanging="108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789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789" w:hanging="144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49" w:hanging="180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" w:hanging="390"/>
        <w:tabs>
          <w:tab w:val="num" w:pos="39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29" w:hanging="5025"/>
      </w:pPr>
    </w:lvl>
    <w:lvl w:ilvl="1">
      <w:start w:val="1"/>
      <w:numFmt w:val="lowerLetter"/>
      <w:isLgl w:val="false"/>
      <w:suff w:val="tab"/>
      <w:lvlText w:val="%2."/>
      <w:lvlJc w:val="left"/>
      <w:pPr>
        <w:ind w:left="20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24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  <w:tabs>
          <w:tab w:val="num" w:pos="1364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  <w:tabs>
          <w:tab w:val="num" w:pos="2084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  <w:tabs>
          <w:tab w:val="num" w:pos="2804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  <w:tabs>
          <w:tab w:val="num" w:pos="3524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  <w:tabs>
          <w:tab w:val="num" w:pos="4244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  <w:tabs>
          <w:tab w:val="num" w:pos="4964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  <w:tabs>
          <w:tab w:val="num" w:pos="5684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  <w:tabs>
          <w:tab w:val="num" w:pos="6404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  <w:tabs>
          <w:tab w:val="num" w:pos="735" w:leader="none"/>
        </w:tabs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  <w:tabs>
          <w:tab w:val="num" w:pos="145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  <w:tabs>
          <w:tab w:val="num" w:pos="217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  <w:tabs>
          <w:tab w:val="num" w:pos="289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  <w:tabs>
          <w:tab w:val="num" w:pos="361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  <w:tabs>
          <w:tab w:val="num" w:pos="433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  <w:tabs>
          <w:tab w:val="num" w:pos="505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  <w:tabs>
          <w:tab w:val="num" w:pos="577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  <w:tabs>
          <w:tab w:val="num" w:pos="6495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29" w:hanging="5025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0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24" w:hanging="180"/>
      </w:p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90" w:hanging="390"/>
        <w:tabs>
          <w:tab w:val="num" w:pos="390" w:leader="none"/>
        </w:tabs>
      </w:pPr>
    </w:lvl>
    <w:lvl w:ilvl="1">
      <w:start w:val="1"/>
      <w:numFmt w:val="decimal"/>
      <w:isLgl w:val="false"/>
      <w:suff w:val="tab"/>
      <w:lvlText w:val="4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4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num w:numId="1">
    <w:abstractNumId w:val="3"/>
  </w:num>
  <w:num w:numId="2">
    <w:abstractNumId w:val="19"/>
  </w:num>
  <w:num w:numId="3">
    <w:abstractNumId w:val="18"/>
  </w:num>
  <w:num w:numId="4">
    <w:abstractNumId w:val="2"/>
  </w:num>
  <w:num w:numId="5">
    <w:abstractNumId w:val="12"/>
  </w:num>
  <w:num w:numId="6">
    <w:abstractNumId w:val="8"/>
  </w:num>
  <w:num w:numId="7">
    <w:abstractNumId w:val="13"/>
  </w:num>
  <w:num w:numId="8">
    <w:abstractNumId w:val="7"/>
  </w:num>
  <w:num w:numId="9">
    <w:abstractNumId w:val="20"/>
  </w:num>
  <w:num w:numId="10">
    <w:abstractNumId w:val="4"/>
  </w:num>
  <w:num w:numId="11">
    <w:abstractNumId w:val="9"/>
  </w:num>
  <w:num w:numId="12">
    <w:abstractNumId w:val="16"/>
  </w:num>
  <w:num w:numId="13">
    <w:abstractNumId w:val="0"/>
  </w:num>
  <w:num w:numId="14">
    <w:abstractNumId w:val="5"/>
  </w:num>
  <w:num w:numId="15">
    <w:abstractNumId w:val="15"/>
  </w:num>
  <w:num w:numId="16">
    <w:abstractNumId w:val="6"/>
  </w:num>
  <w:num w:numId="17">
    <w:abstractNumId w:val="21"/>
  </w:num>
  <w:num w:numId="18">
    <w:abstractNumId w:val="10"/>
  </w:num>
  <w:num w:numId="19">
    <w:abstractNumId w:val="17"/>
  </w:num>
  <w:num w:numId="20">
    <w:abstractNumId w:val="1"/>
  </w:num>
  <w:num w:numId="21">
    <w:abstractNumId w:val="14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>
    <w:name w:val="Heading 1"/>
    <w:basedOn w:val="944"/>
    <w:next w:val="944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7">
    <w:name w:val="Heading 1 Char"/>
    <w:link w:val="766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44"/>
    <w:next w:val="944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44"/>
    <w:next w:val="944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44"/>
    <w:next w:val="944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44"/>
    <w:next w:val="944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44"/>
    <w:next w:val="944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44"/>
    <w:next w:val="944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44"/>
    <w:next w:val="944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44"/>
    <w:next w:val="944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List Paragraph"/>
    <w:basedOn w:val="944"/>
    <w:uiPriority w:val="34"/>
    <w:qFormat/>
    <w:pPr>
      <w:contextualSpacing/>
      <w:ind w:left="720"/>
    </w:pPr>
  </w:style>
  <w:style w:type="paragraph" w:styleId="785">
    <w:name w:val="No Spacing"/>
    <w:uiPriority w:val="1"/>
    <w:qFormat/>
    <w:pPr>
      <w:spacing w:before="0" w:after="0" w:line="240" w:lineRule="auto"/>
    </w:pPr>
  </w:style>
  <w:style w:type="paragraph" w:styleId="786">
    <w:name w:val="Title"/>
    <w:basedOn w:val="944"/>
    <w:next w:val="944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>
    <w:name w:val="Title Char"/>
    <w:link w:val="786"/>
    <w:uiPriority w:val="10"/>
    <w:rPr>
      <w:sz w:val="48"/>
      <w:szCs w:val="48"/>
    </w:rPr>
  </w:style>
  <w:style w:type="paragraph" w:styleId="788">
    <w:name w:val="Subtitle"/>
    <w:basedOn w:val="944"/>
    <w:next w:val="944"/>
    <w:link w:val="789"/>
    <w:uiPriority w:val="11"/>
    <w:qFormat/>
    <w:pPr>
      <w:spacing w:before="200" w:after="200"/>
    </w:pPr>
    <w:rPr>
      <w:sz w:val="24"/>
      <w:szCs w:val="24"/>
    </w:rPr>
  </w:style>
  <w:style w:type="character" w:styleId="789">
    <w:name w:val="Subtitle Char"/>
    <w:link w:val="788"/>
    <w:uiPriority w:val="11"/>
    <w:rPr>
      <w:sz w:val="24"/>
      <w:szCs w:val="24"/>
    </w:rPr>
  </w:style>
  <w:style w:type="paragraph" w:styleId="790">
    <w:name w:val="Quote"/>
    <w:basedOn w:val="944"/>
    <w:next w:val="944"/>
    <w:link w:val="791"/>
    <w:uiPriority w:val="29"/>
    <w:qFormat/>
    <w:pPr>
      <w:ind w:left="720" w:right="720"/>
    </w:pPr>
    <w:rPr>
      <w:i/>
    </w:rPr>
  </w:style>
  <w:style w:type="character" w:styleId="791">
    <w:name w:val="Quote Char"/>
    <w:link w:val="790"/>
    <w:uiPriority w:val="29"/>
    <w:rPr>
      <w:i/>
    </w:rPr>
  </w:style>
  <w:style w:type="paragraph" w:styleId="792">
    <w:name w:val="Intense Quote"/>
    <w:basedOn w:val="944"/>
    <w:next w:val="944"/>
    <w:link w:val="7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>
    <w:name w:val="Intense Quote Char"/>
    <w:link w:val="792"/>
    <w:uiPriority w:val="30"/>
    <w:rPr>
      <w:i/>
    </w:rPr>
  </w:style>
  <w:style w:type="paragraph" w:styleId="794">
    <w:name w:val="Header"/>
    <w:basedOn w:val="944"/>
    <w:link w:val="7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5">
    <w:name w:val="Header Char"/>
    <w:link w:val="794"/>
    <w:uiPriority w:val="99"/>
  </w:style>
  <w:style w:type="paragraph" w:styleId="796">
    <w:name w:val="Footer"/>
    <w:basedOn w:val="944"/>
    <w:link w:val="7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7">
    <w:name w:val="Footer Char"/>
    <w:link w:val="796"/>
    <w:uiPriority w:val="99"/>
  </w:style>
  <w:style w:type="paragraph" w:styleId="798">
    <w:name w:val="Caption"/>
    <w:basedOn w:val="944"/>
    <w:next w:val="9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9">
    <w:name w:val="Caption Char"/>
    <w:basedOn w:val="798"/>
    <w:link w:val="796"/>
    <w:uiPriority w:val="99"/>
  </w:style>
  <w:style w:type="table" w:styleId="8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6">
    <w:name w:val="Hyperlink"/>
    <w:uiPriority w:val="99"/>
    <w:unhideWhenUsed/>
    <w:rPr>
      <w:color w:val="0000ff" w:themeColor="hyperlink"/>
      <w:u w:val="single"/>
    </w:r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next w:val="944"/>
    <w:link w:val="944"/>
    <w:qFormat/>
    <w:pPr>
      <w:widowControl w:val="off"/>
    </w:pPr>
    <w:rPr>
      <w:lang w:val="ru-RU" w:eastAsia="ru-RU" w:bidi="ar-SA"/>
    </w:rPr>
  </w:style>
  <w:style w:type="paragraph" w:styleId="945">
    <w:name w:val="Заголовок 1"/>
    <w:basedOn w:val="944"/>
    <w:next w:val="944"/>
    <w:link w:val="954"/>
    <w:uiPriority w:val="99"/>
    <w:qFormat/>
    <w:pPr>
      <w:jc w:val="center"/>
      <w:spacing w:before="108" w:after="108"/>
      <w:widowControl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styleId="946">
    <w:name w:val="Основной шрифт абзаца"/>
    <w:next w:val="946"/>
    <w:link w:val="944"/>
    <w:semiHidden/>
  </w:style>
  <w:style w:type="table" w:styleId="947">
    <w:name w:val="Обычная таблица"/>
    <w:next w:val="947"/>
    <w:link w:val="944"/>
    <w:semiHidden/>
    <w:tblPr/>
  </w:style>
  <w:style w:type="numbering" w:styleId="948">
    <w:name w:val="Нет списка"/>
    <w:next w:val="948"/>
    <w:link w:val="944"/>
    <w:semiHidden/>
  </w:style>
  <w:style w:type="table" w:styleId="949">
    <w:name w:val="Сетка таблицы"/>
    <w:basedOn w:val="947"/>
    <w:next w:val="949"/>
    <w:link w:val="944"/>
    <w:pPr>
      <w:widowControl w:val="off"/>
    </w:pPr>
    <w:tblPr/>
  </w:style>
  <w:style w:type="paragraph" w:styleId="950">
    <w:name w:val="Текст выноски"/>
    <w:basedOn w:val="944"/>
    <w:next w:val="950"/>
    <w:link w:val="944"/>
    <w:semiHidden/>
    <w:rPr>
      <w:rFonts w:ascii="Tahoma" w:hAnsi="Tahoma" w:cs="Tahoma"/>
      <w:sz w:val="16"/>
      <w:szCs w:val="16"/>
    </w:rPr>
  </w:style>
  <w:style w:type="paragraph" w:styleId="951">
    <w:name w:val="Нижний колонтитул"/>
    <w:basedOn w:val="944"/>
    <w:next w:val="951"/>
    <w:link w:val="957"/>
    <w:uiPriority w:val="99"/>
    <w:pPr>
      <w:tabs>
        <w:tab w:val="center" w:pos="4677" w:leader="none"/>
        <w:tab w:val="right" w:pos="9355" w:leader="none"/>
      </w:tabs>
    </w:pPr>
  </w:style>
  <w:style w:type="character" w:styleId="952">
    <w:name w:val="Номер страницы"/>
    <w:basedOn w:val="946"/>
    <w:next w:val="952"/>
    <w:link w:val="944"/>
  </w:style>
  <w:style w:type="paragraph" w:styleId="953">
    <w:name w:val="Верхний колонтитул"/>
    <w:basedOn w:val="944"/>
    <w:next w:val="953"/>
    <w:link w:val="944"/>
    <w:pPr>
      <w:tabs>
        <w:tab w:val="center" w:pos="4677" w:leader="none"/>
        <w:tab w:val="right" w:pos="9355" w:leader="none"/>
      </w:tabs>
    </w:pPr>
  </w:style>
  <w:style w:type="character" w:styleId="954">
    <w:name w:val="Заголовок 1 Знак"/>
    <w:next w:val="954"/>
    <w:link w:val="945"/>
    <w:uiPriority w:val="99"/>
    <w:rPr>
      <w:rFonts w:ascii="Arial" w:hAnsi="Arial" w:cs="Arial"/>
      <w:b/>
      <w:bCs/>
      <w:color w:val="000080"/>
      <w:sz w:val="24"/>
      <w:szCs w:val="24"/>
    </w:rPr>
  </w:style>
  <w:style w:type="character" w:styleId="955">
    <w:name w:val="Гипертекстовая ссылка"/>
    <w:next w:val="955"/>
    <w:link w:val="944"/>
    <w:uiPriority w:val="99"/>
    <w:rPr>
      <w:color w:val="008000"/>
    </w:rPr>
  </w:style>
  <w:style w:type="paragraph" w:styleId="956">
    <w:name w:val="Абзац списка"/>
    <w:basedOn w:val="944"/>
    <w:next w:val="956"/>
    <w:link w:val="944"/>
    <w:uiPriority w:val="99"/>
    <w:qFormat/>
    <w:pPr>
      <w:ind w:left="708"/>
    </w:pPr>
    <w:rPr>
      <w:b/>
      <w:bCs/>
    </w:rPr>
  </w:style>
  <w:style w:type="character" w:styleId="957">
    <w:name w:val="Нижний колонтитул Знак"/>
    <w:next w:val="957"/>
    <w:link w:val="951"/>
    <w:uiPriority w:val="99"/>
  </w:style>
  <w:style w:type="character" w:styleId="958" w:default="1">
    <w:name w:val="Default Paragraph Font"/>
    <w:uiPriority w:val="1"/>
    <w:semiHidden/>
    <w:unhideWhenUsed/>
  </w:style>
  <w:style w:type="numbering" w:styleId="959" w:default="1">
    <w:name w:val="No List"/>
    <w:uiPriority w:val="99"/>
    <w:semiHidden/>
    <w:unhideWhenUsed/>
  </w:style>
  <w:style w:type="table" w:styleId="9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ОАО "Волжская МРК"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</dc:title>
  <dc:creator>o.zaryankina</dc:creator>
  <cp:revision>12</cp:revision>
  <dcterms:created xsi:type="dcterms:W3CDTF">2013-02-13T07:02:00Z</dcterms:created>
  <dcterms:modified xsi:type="dcterms:W3CDTF">2024-11-20T05:59:58Z</dcterms:modified>
  <cp:version>1048576</cp:version>
</cp:coreProperties>
</file>